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F689A" w14:textId="77777777" w:rsidR="00A608E7" w:rsidRPr="00A608E7" w:rsidRDefault="009A3781" w:rsidP="00A608E7">
      <w:pPr>
        <w:pStyle w:val="Listenabsatz"/>
        <w:numPr>
          <w:ilvl w:val="0"/>
          <w:numId w:val="1"/>
        </w:numPr>
        <w:rPr>
          <w:rFonts w:ascii="Arial" w:hAnsi="Arial"/>
          <w:b/>
        </w:rPr>
      </w:pPr>
      <w:bookmarkStart w:id="0" w:name="_GoBack"/>
      <w:bookmarkEnd w:id="0"/>
      <w:r w:rsidRPr="00A608E7">
        <w:rPr>
          <w:rFonts w:ascii="Arial" w:hAnsi="Arial"/>
          <w:b/>
        </w:rPr>
        <w:t>Allein in den letzten vier Jahrzehnten hat sich der weltweite Energieverbrauch mehr als verdoppelt.</w:t>
      </w:r>
    </w:p>
    <w:p w14:paraId="4F39EEBC" w14:textId="77777777" w:rsidR="00A608E7" w:rsidRPr="00A608E7" w:rsidRDefault="00A608E7" w:rsidP="000F1F20">
      <w:pPr>
        <w:pStyle w:val="Listenabsatz"/>
        <w:rPr>
          <w:rFonts w:ascii="Arial" w:hAnsi="Arial"/>
          <w:b/>
        </w:rPr>
      </w:pPr>
    </w:p>
    <w:p w14:paraId="36426F20" w14:textId="7DDF7596" w:rsidR="000F1F20" w:rsidRDefault="000F1F20" w:rsidP="000F1F20">
      <w:pPr>
        <w:pStyle w:val="Listenabsatz"/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A</w:t>
      </w:r>
      <w:r w:rsidR="00771660" w:rsidRPr="00A608E7">
        <w:rPr>
          <w:rFonts w:ascii="Arial" w:hAnsi="Arial"/>
          <w:b/>
        </w:rPr>
        <w:t xml:space="preserve">uf Öl, Kohle und Gas </w:t>
      </w:r>
      <w:r w:rsidRPr="00A608E7">
        <w:rPr>
          <w:rFonts w:ascii="Arial" w:hAnsi="Arial"/>
          <w:b/>
        </w:rPr>
        <w:t>entf</w:t>
      </w:r>
      <w:r>
        <w:rPr>
          <w:rFonts w:ascii="Arial" w:hAnsi="Arial"/>
          <w:b/>
        </w:rPr>
        <w:t>al</w:t>
      </w:r>
      <w:r w:rsidRPr="00A608E7">
        <w:rPr>
          <w:rFonts w:ascii="Arial" w:hAnsi="Arial"/>
          <w:b/>
        </w:rPr>
        <w:t xml:space="preserve">len </w:t>
      </w:r>
      <w:r>
        <w:rPr>
          <w:rFonts w:ascii="Arial" w:hAnsi="Arial"/>
          <w:b/>
        </w:rPr>
        <w:t xml:space="preserve">rund </w:t>
      </w:r>
      <w:r w:rsidR="00771660" w:rsidRPr="00A608E7">
        <w:rPr>
          <w:rFonts w:ascii="Arial" w:hAnsi="Arial"/>
          <w:b/>
        </w:rPr>
        <w:t>8</w:t>
      </w:r>
      <w:r>
        <w:rPr>
          <w:rFonts w:ascii="Arial" w:hAnsi="Arial"/>
          <w:b/>
        </w:rPr>
        <w:t>0</w:t>
      </w:r>
      <w:r w:rsidR="00771660" w:rsidRPr="00A608E7">
        <w:rPr>
          <w:rFonts w:ascii="Arial" w:hAnsi="Arial"/>
          <w:b/>
        </w:rPr>
        <w:t xml:space="preserve"> Prozent der Primärenergie-Versorgung.</w:t>
      </w:r>
    </w:p>
    <w:p w14:paraId="052A8A07" w14:textId="77777777" w:rsidR="000F1F20" w:rsidRPr="000F1F20" w:rsidRDefault="000F1F20" w:rsidP="000F1F20">
      <w:pPr>
        <w:pStyle w:val="Listenabsatz"/>
        <w:rPr>
          <w:rFonts w:ascii="Arial" w:hAnsi="Arial"/>
          <w:b/>
        </w:rPr>
      </w:pPr>
    </w:p>
    <w:p w14:paraId="02AA157A" w14:textId="04364752" w:rsidR="000F1F20" w:rsidRPr="00A608E7" w:rsidRDefault="000F1F20" w:rsidP="000F1F20">
      <w:pPr>
        <w:pStyle w:val="Listenabsatz"/>
        <w:numPr>
          <w:ilvl w:val="0"/>
          <w:numId w:val="1"/>
        </w:numPr>
        <w:rPr>
          <w:rFonts w:ascii="Arial" w:hAnsi="Arial"/>
          <w:b/>
        </w:rPr>
      </w:pPr>
      <w:r w:rsidRPr="000F1F20">
        <w:rPr>
          <w:rFonts w:ascii="Arial" w:hAnsi="Arial"/>
          <w:b/>
        </w:rPr>
        <w:t>Im Vergleich zu den 1970er-Jahren ist d</w:t>
      </w:r>
      <w:r w:rsidRPr="00A608E7">
        <w:rPr>
          <w:rFonts w:ascii="Arial" w:hAnsi="Arial"/>
          <w:b/>
        </w:rPr>
        <w:t>er Anteil des Öls stark rückläufig, die Anteile von Kohle und Gas haben hingegen zugenommen.</w:t>
      </w:r>
    </w:p>
    <w:p w14:paraId="0BD08E3C" w14:textId="77777777" w:rsidR="00A608E7" w:rsidRPr="00A608E7" w:rsidRDefault="00A608E7" w:rsidP="000F1F20">
      <w:pPr>
        <w:pStyle w:val="Listenabsatz"/>
        <w:rPr>
          <w:rFonts w:ascii="Arial" w:hAnsi="Arial"/>
          <w:b/>
        </w:rPr>
      </w:pPr>
    </w:p>
    <w:p w14:paraId="49E3492D" w14:textId="77777777" w:rsidR="00A608E7" w:rsidRPr="00A608E7" w:rsidRDefault="00E20950" w:rsidP="00A608E7">
      <w:pPr>
        <w:pStyle w:val="Listenabsatz"/>
        <w:numPr>
          <w:ilvl w:val="0"/>
          <w:numId w:val="1"/>
        </w:numPr>
        <w:rPr>
          <w:rFonts w:ascii="Arial" w:hAnsi="Arial"/>
          <w:b/>
        </w:rPr>
      </w:pPr>
      <w:r w:rsidRPr="00A608E7">
        <w:rPr>
          <w:rFonts w:ascii="Arial" w:hAnsi="Arial"/>
          <w:b/>
        </w:rPr>
        <w:t>D</w:t>
      </w:r>
      <w:r w:rsidR="00226748" w:rsidRPr="00A608E7">
        <w:rPr>
          <w:rFonts w:ascii="Arial" w:hAnsi="Arial"/>
          <w:b/>
        </w:rPr>
        <w:t xml:space="preserve">ie Bedeutung der erneuerbaren Energien ist </w:t>
      </w:r>
      <w:r w:rsidR="004C31F1" w:rsidRPr="00A608E7">
        <w:rPr>
          <w:rFonts w:ascii="Arial" w:hAnsi="Arial"/>
          <w:b/>
        </w:rPr>
        <w:t xml:space="preserve">sowohl </w:t>
      </w:r>
      <w:r w:rsidR="00226748" w:rsidRPr="00A608E7">
        <w:rPr>
          <w:rFonts w:ascii="Arial" w:hAnsi="Arial"/>
          <w:b/>
        </w:rPr>
        <w:t>absolut</w:t>
      </w:r>
      <w:r w:rsidR="004C31F1" w:rsidRPr="00A608E7">
        <w:rPr>
          <w:rFonts w:ascii="Arial" w:hAnsi="Arial"/>
          <w:b/>
        </w:rPr>
        <w:t xml:space="preserve"> als </w:t>
      </w:r>
      <w:r w:rsidR="00226748" w:rsidRPr="00A608E7">
        <w:rPr>
          <w:rFonts w:ascii="Arial" w:hAnsi="Arial"/>
          <w:b/>
        </w:rPr>
        <w:t>auch im Vergleich zu anderen Energieträgern gestiegen</w:t>
      </w:r>
      <w:r w:rsidR="00D760E8" w:rsidRPr="00A608E7">
        <w:rPr>
          <w:rFonts w:ascii="Arial" w:hAnsi="Arial"/>
          <w:b/>
        </w:rPr>
        <w:t xml:space="preserve"> – 202</w:t>
      </w:r>
      <w:r w:rsidR="00A608E7" w:rsidRPr="00A608E7">
        <w:rPr>
          <w:rFonts w:ascii="Arial" w:hAnsi="Arial"/>
          <w:b/>
        </w:rPr>
        <w:t>2</w:t>
      </w:r>
      <w:r w:rsidR="00D760E8" w:rsidRPr="00A608E7">
        <w:rPr>
          <w:rFonts w:ascii="Arial" w:hAnsi="Arial"/>
          <w:b/>
        </w:rPr>
        <w:t xml:space="preserve"> lag ihr Anteil bei 14</w:t>
      </w:r>
      <w:r w:rsidR="004C31F1" w:rsidRPr="00A608E7">
        <w:rPr>
          <w:rFonts w:ascii="Arial" w:hAnsi="Arial"/>
          <w:b/>
        </w:rPr>
        <w:t>,</w:t>
      </w:r>
      <w:r w:rsidR="00A608E7" w:rsidRPr="00A608E7">
        <w:rPr>
          <w:rFonts w:ascii="Arial" w:hAnsi="Arial"/>
          <w:b/>
        </w:rPr>
        <w:t>0</w:t>
      </w:r>
      <w:r w:rsidR="004C31F1" w:rsidRPr="00A608E7">
        <w:rPr>
          <w:rFonts w:ascii="Arial" w:hAnsi="Arial"/>
          <w:b/>
        </w:rPr>
        <w:t xml:space="preserve"> Prozent</w:t>
      </w:r>
      <w:r w:rsidR="00226748" w:rsidRPr="00A608E7">
        <w:rPr>
          <w:rFonts w:ascii="Arial" w:hAnsi="Arial"/>
          <w:b/>
        </w:rPr>
        <w:t>.</w:t>
      </w:r>
    </w:p>
    <w:p w14:paraId="1FFC190B" w14:textId="77777777" w:rsidR="00A608E7" w:rsidRPr="00A608E7" w:rsidRDefault="00A608E7" w:rsidP="000F1F20">
      <w:pPr>
        <w:pStyle w:val="Listenabsatz"/>
        <w:rPr>
          <w:rFonts w:ascii="Arial" w:hAnsi="Arial"/>
          <w:b/>
        </w:rPr>
      </w:pPr>
    </w:p>
    <w:p w14:paraId="734AC626" w14:textId="00AF0597" w:rsidR="009D227D" w:rsidRPr="00A608E7" w:rsidRDefault="00226748" w:rsidP="00A608E7">
      <w:pPr>
        <w:pStyle w:val="Listenabsatz"/>
        <w:numPr>
          <w:ilvl w:val="0"/>
          <w:numId w:val="1"/>
        </w:numPr>
        <w:rPr>
          <w:rFonts w:ascii="Arial" w:hAnsi="Arial"/>
          <w:b/>
        </w:rPr>
      </w:pPr>
      <w:r w:rsidRPr="00A608E7">
        <w:rPr>
          <w:rFonts w:ascii="Arial" w:hAnsi="Arial"/>
          <w:b/>
        </w:rPr>
        <w:t>Je nach Erhebungsansatz wird</w:t>
      </w:r>
      <w:r w:rsidR="00EA60EB" w:rsidRPr="00A608E7">
        <w:rPr>
          <w:rFonts w:ascii="Arial" w:hAnsi="Arial"/>
          <w:b/>
        </w:rPr>
        <w:t xml:space="preserve"> dabei der Begriff '</w:t>
      </w:r>
      <w:r w:rsidRPr="00A608E7">
        <w:rPr>
          <w:rFonts w:ascii="Arial" w:hAnsi="Arial"/>
          <w:b/>
        </w:rPr>
        <w:t>erneuerbar</w:t>
      </w:r>
      <w:r w:rsidR="00EA60EB" w:rsidRPr="00A608E7">
        <w:rPr>
          <w:rFonts w:ascii="Arial" w:hAnsi="Arial"/>
          <w:b/>
        </w:rPr>
        <w:t>'</w:t>
      </w:r>
      <w:r w:rsidRPr="00A608E7">
        <w:rPr>
          <w:rFonts w:ascii="Arial" w:hAnsi="Arial"/>
          <w:b/>
        </w:rPr>
        <w:t xml:space="preserve"> sehr unterschiedlich definiert.</w:t>
      </w:r>
    </w:p>
    <w:p w14:paraId="027BED21" w14:textId="77777777" w:rsidR="001C2777" w:rsidRPr="00B40BF0" w:rsidRDefault="001C2777" w:rsidP="00737DC4">
      <w:pPr>
        <w:rPr>
          <w:rFonts w:ascii="Arial" w:hAnsi="Arial"/>
        </w:rPr>
      </w:pPr>
    </w:p>
    <w:p w14:paraId="2BF0756C" w14:textId="77777777" w:rsidR="00737DC4" w:rsidRPr="0020359C" w:rsidRDefault="00737DC4" w:rsidP="00737DC4">
      <w:r w:rsidRPr="0020359C">
        <w:rPr>
          <w:rFonts w:ascii="Arial" w:hAnsi="Arial"/>
          <w:color w:val="FF0000"/>
        </w:rPr>
        <w:t>Fakten</w:t>
      </w:r>
    </w:p>
    <w:p w14:paraId="42D57CA9" w14:textId="77777777" w:rsidR="00737DC4" w:rsidRPr="00C85218" w:rsidRDefault="00737DC4">
      <w:pPr>
        <w:rPr>
          <w:rFonts w:ascii="Arial" w:hAnsi="Arial"/>
        </w:rPr>
      </w:pPr>
    </w:p>
    <w:p w14:paraId="732E4F22" w14:textId="01FB591B" w:rsidR="00BD5272" w:rsidRDefault="00226748" w:rsidP="003B553C">
      <w:pPr>
        <w:rPr>
          <w:rFonts w:ascii="Arial" w:hAnsi="Arial"/>
        </w:rPr>
      </w:pPr>
      <w:r w:rsidRPr="0050574B">
        <w:rPr>
          <w:rFonts w:ascii="Arial" w:hAnsi="Arial"/>
        </w:rPr>
        <w:t xml:space="preserve">Nach Angaben der Internationalen Energie Agentur (International Energy Agency, IEA) nahm die Versorgung mit Primärenergie zwischen 1973 und </w:t>
      </w:r>
      <w:r w:rsidR="00D63333" w:rsidRPr="0050574B">
        <w:rPr>
          <w:rFonts w:ascii="Arial" w:hAnsi="Arial"/>
        </w:rPr>
        <w:t>20</w:t>
      </w:r>
      <w:r w:rsidR="00664B7F" w:rsidRPr="0050574B">
        <w:rPr>
          <w:rFonts w:ascii="Arial" w:hAnsi="Arial"/>
        </w:rPr>
        <w:t>2</w:t>
      </w:r>
      <w:r w:rsidR="000C1981">
        <w:rPr>
          <w:rFonts w:ascii="Arial" w:hAnsi="Arial"/>
        </w:rPr>
        <w:t>2</w:t>
      </w:r>
      <w:r w:rsidRPr="0050574B">
        <w:rPr>
          <w:rFonts w:ascii="Arial" w:hAnsi="Arial"/>
        </w:rPr>
        <w:t xml:space="preserve"> von </w:t>
      </w:r>
      <w:r w:rsidR="00D63333" w:rsidRPr="0050574B">
        <w:rPr>
          <w:rFonts w:ascii="Arial" w:hAnsi="Arial"/>
        </w:rPr>
        <w:t xml:space="preserve">gut </w:t>
      </w:r>
      <w:r w:rsidRPr="0050574B">
        <w:rPr>
          <w:rFonts w:ascii="Arial" w:hAnsi="Arial"/>
        </w:rPr>
        <w:t>6.1</w:t>
      </w:r>
      <w:r w:rsidR="00D63333" w:rsidRPr="0050574B">
        <w:rPr>
          <w:rFonts w:ascii="Arial" w:hAnsi="Arial"/>
        </w:rPr>
        <w:t>00</w:t>
      </w:r>
      <w:r w:rsidRPr="0050574B">
        <w:rPr>
          <w:rFonts w:ascii="Arial" w:hAnsi="Arial"/>
        </w:rPr>
        <w:t xml:space="preserve"> auf </w:t>
      </w:r>
      <w:r w:rsidR="00664B7F" w:rsidRPr="0050574B">
        <w:rPr>
          <w:rFonts w:ascii="Arial" w:hAnsi="Arial"/>
        </w:rPr>
        <w:t>knapp</w:t>
      </w:r>
      <w:r w:rsidR="00D63333" w:rsidRPr="0050574B">
        <w:rPr>
          <w:rFonts w:ascii="Arial" w:hAnsi="Arial"/>
        </w:rPr>
        <w:t xml:space="preserve"> </w:t>
      </w:r>
      <w:r w:rsidRPr="0050574B">
        <w:rPr>
          <w:rFonts w:ascii="Arial" w:hAnsi="Arial"/>
        </w:rPr>
        <w:t>1</w:t>
      </w:r>
      <w:r w:rsidR="00C16C8C" w:rsidRPr="0050574B">
        <w:rPr>
          <w:rFonts w:ascii="Arial" w:hAnsi="Arial"/>
        </w:rPr>
        <w:t>4</w:t>
      </w:r>
      <w:r w:rsidRPr="0050574B">
        <w:rPr>
          <w:rFonts w:ascii="Arial" w:hAnsi="Arial"/>
        </w:rPr>
        <w:t>.</w:t>
      </w:r>
      <w:r w:rsidR="00664B7F" w:rsidRPr="0050574B">
        <w:rPr>
          <w:rFonts w:ascii="Arial" w:hAnsi="Arial"/>
        </w:rPr>
        <w:t>9</w:t>
      </w:r>
      <w:r w:rsidR="00D63333" w:rsidRPr="0050574B">
        <w:rPr>
          <w:rFonts w:ascii="Arial" w:hAnsi="Arial"/>
        </w:rPr>
        <w:t>00</w:t>
      </w:r>
      <w:r w:rsidRPr="0050574B">
        <w:rPr>
          <w:rFonts w:ascii="Arial" w:hAnsi="Arial"/>
        </w:rPr>
        <w:t xml:space="preserve"> Millionen Tonnen Öläquivalent zu. Das entspricht einer Steigerung von insgesamt 1</w:t>
      </w:r>
      <w:r w:rsidR="00664B7F" w:rsidRPr="0050574B">
        <w:rPr>
          <w:rFonts w:ascii="Arial" w:hAnsi="Arial"/>
        </w:rPr>
        <w:t>43</w:t>
      </w:r>
      <w:r w:rsidRPr="0050574B">
        <w:rPr>
          <w:rFonts w:ascii="Arial" w:hAnsi="Arial"/>
        </w:rPr>
        <w:t xml:space="preserve"> Prozent bzw. </w:t>
      </w:r>
      <w:r w:rsidR="007E2A2B" w:rsidRPr="0050574B">
        <w:rPr>
          <w:rFonts w:ascii="Arial" w:hAnsi="Arial"/>
        </w:rPr>
        <w:t xml:space="preserve">durchschnittlich </w:t>
      </w:r>
      <w:r w:rsidR="00050AD9" w:rsidRPr="0050574B">
        <w:rPr>
          <w:rFonts w:ascii="Arial" w:hAnsi="Arial"/>
        </w:rPr>
        <w:t>1</w:t>
      </w:r>
      <w:r w:rsidRPr="0050574B">
        <w:rPr>
          <w:rFonts w:ascii="Arial" w:hAnsi="Arial"/>
        </w:rPr>
        <w:t>,</w:t>
      </w:r>
      <w:r w:rsidR="00BF6439" w:rsidRPr="0050574B">
        <w:rPr>
          <w:rFonts w:ascii="Arial" w:hAnsi="Arial"/>
        </w:rPr>
        <w:t>8</w:t>
      </w:r>
      <w:r w:rsidRPr="0050574B">
        <w:rPr>
          <w:rFonts w:ascii="Arial" w:hAnsi="Arial"/>
        </w:rPr>
        <w:t xml:space="preserve"> Prozent pro Jahr.</w:t>
      </w:r>
      <w:r w:rsidR="00580B3D">
        <w:rPr>
          <w:rFonts w:ascii="Arial" w:hAnsi="Arial"/>
        </w:rPr>
        <w:t xml:space="preserve"> </w:t>
      </w:r>
      <w:r w:rsidR="002D01EA">
        <w:rPr>
          <w:rFonts w:ascii="Arial" w:hAnsi="Arial"/>
        </w:rPr>
        <w:t xml:space="preserve">Dabei verlief die Steigerung insgesamt stetig: </w:t>
      </w:r>
      <w:r w:rsidR="002D01EA" w:rsidRPr="002D01EA">
        <w:rPr>
          <w:rFonts w:ascii="Arial" w:hAnsi="Arial"/>
        </w:rPr>
        <w:t>In den Jahren 1973 bis 202</w:t>
      </w:r>
      <w:r w:rsidR="000C1981">
        <w:rPr>
          <w:rFonts w:ascii="Arial" w:hAnsi="Arial"/>
        </w:rPr>
        <w:t>2</w:t>
      </w:r>
      <w:r w:rsidR="002D01EA" w:rsidRPr="002D01EA">
        <w:rPr>
          <w:rFonts w:ascii="Arial" w:hAnsi="Arial"/>
        </w:rPr>
        <w:t xml:space="preserve"> ist der </w:t>
      </w:r>
      <w:r w:rsidR="002D01EA">
        <w:rPr>
          <w:rFonts w:ascii="Arial" w:hAnsi="Arial"/>
        </w:rPr>
        <w:t xml:space="preserve">absolute Wert </w:t>
      </w:r>
      <w:r w:rsidR="002D01EA" w:rsidRPr="002D01EA">
        <w:rPr>
          <w:rFonts w:ascii="Arial" w:hAnsi="Arial"/>
        </w:rPr>
        <w:t>4</w:t>
      </w:r>
      <w:r w:rsidR="000C1981">
        <w:rPr>
          <w:rFonts w:ascii="Arial" w:hAnsi="Arial"/>
        </w:rPr>
        <w:t>4</w:t>
      </w:r>
      <w:r w:rsidR="002D01EA" w:rsidRPr="002D01EA">
        <w:rPr>
          <w:rFonts w:ascii="Arial" w:hAnsi="Arial"/>
        </w:rPr>
        <w:t>-mal gestiegen und lediglich fünfmal gesunken.</w:t>
      </w:r>
    </w:p>
    <w:p w14:paraId="76C4B0C9" w14:textId="77777777" w:rsidR="00580B3D" w:rsidRDefault="00580B3D" w:rsidP="003B553C">
      <w:pPr>
        <w:rPr>
          <w:rFonts w:ascii="Arial" w:hAnsi="Arial"/>
        </w:rPr>
      </w:pPr>
    </w:p>
    <w:p w14:paraId="5B84B1AD" w14:textId="42008405" w:rsidR="003626D8" w:rsidRDefault="00FB2F14">
      <w:pPr>
        <w:rPr>
          <w:rFonts w:ascii="Arial" w:hAnsi="Arial"/>
        </w:rPr>
      </w:pPr>
      <w:r w:rsidRPr="00E978DD">
        <w:rPr>
          <w:rFonts w:ascii="Arial" w:hAnsi="Arial"/>
        </w:rPr>
        <w:t>Im Jahr 202</w:t>
      </w:r>
      <w:r w:rsidR="00E978DD" w:rsidRPr="00E978DD">
        <w:rPr>
          <w:rFonts w:ascii="Arial" w:hAnsi="Arial"/>
        </w:rPr>
        <w:t>2</w:t>
      </w:r>
      <w:r w:rsidRPr="00E978DD">
        <w:rPr>
          <w:rFonts w:ascii="Arial" w:hAnsi="Arial"/>
        </w:rPr>
        <w:t xml:space="preserve"> basierte d</w:t>
      </w:r>
      <w:r w:rsidR="00226748" w:rsidRPr="00E978DD">
        <w:rPr>
          <w:rFonts w:ascii="Arial" w:hAnsi="Arial"/>
        </w:rPr>
        <w:t xml:space="preserve">ie weltweite Primärenergie-Versorgung zu </w:t>
      </w:r>
      <w:r w:rsidR="00E978DD" w:rsidRPr="00E978DD">
        <w:rPr>
          <w:rFonts w:ascii="Arial" w:hAnsi="Arial"/>
        </w:rPr>
        <w:t>30</w:t>
      </w:r>
      <w:r w:rsidR="00226748" w:rsidRPr="00E978DD">
        <w:rPr>
          <w:rFonts w:ascii="Arial" w:hAnsi="Arial"/>
        </w:rPr>
        <w:t>,</w:t>
      </w:r>
      <w:r w:rsidR="00E978DD" w:rsidRPr="00E978DD">
        <w:rPr>
          <w:rFonts w:ascii="Arial" w:hAnsi="Arial"/>
        </w:rPr>
        <w:t>2</w:t>
      </w:r>
      <w:r w:rsidR="00226748" w:rsidRPr="00E978DD">
        <w:rPr>
          <w:rFonts w:ascii="Arial" w:hAnsi="Arial"/>
        </w:rPr>
        <w:t xml:space="preserve"> Prozent auf Öl</w:t>
      </w:r>
      <w:r w:rsidR="00A70E95" w:rsidRPr="00E978DD">
        <w:rPr>
          <w:rFonts w:ascii="Arial" w:hAnsi="Arial"/>
        </w:rPr>
        <w:t xml:space="preserve">, </w:t>
      </w:r>
      <w:r w:rsidR="00226748" w:rsidRPr="00E978DD">
        <w:rPr>
          <w:rFonts w:ascii="Arial" w:hAnsi="Arial"/>
        </w:rPr>
        <w:t>zu 2</w:t>
      </w:r>
      <w:r w:rsidR="00E978DD" w:rsidRPr="00E978DD">
        <w:rPr>
          <w:rFonts w:ascii="Arial" w:hAnsi="Arial"/>
        </w:rPr>
        <w:t>7</w:t>
      </w:r>
      <w:r w:rsidR="00226748" w:rsidRPr="00E978DD">
        <w:rPr>
          <w:rFonts w:ascii="Arial" w:hAnsi="Arial"/>
        </w:rPr>
        <w:t>,</w:t>
      </w:r>
      <w:r w:rsidR="00E978DD" w:rsidRPr="00E978DD">
        <w:rPr>
          <w:rFonts w:ascii="Arial" w:hAnsi="Arial"/>
        </w:rPr>
        <w:t>6</w:t>
      </w:r>
      <w:r w:rsidR="00226748" w:rsidRPr="00E978DD">
        <w:rPr>
          <w:rFonts w:ascii="Arial" w:hAnsi="Arial"/>
        </w:rPr>
        <w:t xml:space="preserve"> Prozent auf Kohle</w:t>
      </w:r>
      <w:r w:rsidR="00A70E95" w:rsidRPr="00E978DD">
        <w:rPr>
          <w:rFonts w:ascii="Arial" w:hAnsi="Arial"/>
        </w:rPr>
        <w:t xml:space="preserve"> und </w:t>
      </w:r>
      <w:r w:rsidR="00226748" w:rsidRPr="00E978DD">
        <w:rPr>
          <w:rFonts w:ascii="Arial" w:hAnsi="Arial"/>
        </w:rPr>
        <w:t>zu 2</w:t>
      </w:r>
      <w:r w:rsidR="00FB71B3" w:rsidRPr="00E978DD">
        <w:rPr>
          <w:rFonts w:ascii="Arial" w:hAnsi="Arial"/>
        </w:rPr>
        <w:t>3</w:t>
      </w:r>
      <w:r w:rsidR="00226748" w:rsidRPr="00E978DD">
        <w:rPr>
          <w:rFonts w:ascii="Arial" w:hAnsi="Arial"/>
        </w:rPr>
        <w:t>,</w:t>
      </w:r>
      <w:r w:rsidR="00E978DD" w:rsidRPr="00E978DD">
        <w:rPr>
          <w:rFonts w:ascii="Arial" w:hAnsi="Arial"/>
        </w:rPr>
        <w:t>1</w:t>
      </w:r>
      <w:r w:rsidR="00226748" w:rsidRPr="00E978DD">
        <w:rPr>
          <w:rFonts w:ascii="Arial" w:hAnsi="Arial"/>
        </w:rPr>
        <w:t xml:space="preserve"> Prozent auf Gas</w:t>
      </w:r>
      <w:r w:rsidR="00DB2E08" w:rsidRPr="00E978DD">
        <w:rPr>
          <w:rFonts w:ascii="Arial" w:hAnsi="Arial"/>
        </w:rPr>
        <w:t xml:space="preserve"> – zusammen </w:t>
      </w:r>
      <w:r w:rsidR="00E978DD" w:rsidRPr="00E978DD">
        <w:rPr>
          <w:rFonts w:ascii="Arial" w:hAnsi="Arial"/>
        </w:rPr>
        <w:t>81</w:t>
      </w:r>
      <w:r w:rsidR="00DB2E08" w:rsidRPr="00E978DD">
        <w:rPr>
          <w:rFonts w:ascii="Arial" w:hAnsi="Arial"/>
        </w:rPr>
        <w:t>,</w:t>
      </w:r>
      <w:r w:rsidR="00E978DD" w:rsidRPr="00E978DD">
        <w:rPr>
          <w:rFonts w:ascii="Arial" w:hAnsi="Arial"/>
        </w:rPr>
        <w:t>0</w:t>
      </w:r>
      <w:r w:rsidR="00DB2E08" w:rsidRPr="00E978DD">
        <w:rPr>
          <w:rFonts w:ascii="Arial" w:hAnsi="Arial"/>
        </w:rPr>
        <w:t xml:space="preserve"> Prozent. </w:t>
      </w:r>
      <w:r w:rsidR="00A70E95" w:rsidRPr="00E978DD">
        <w:rPr>
          <w:rFonts w:ascii="Arial" w:hAnsi="Arial"/>
        </w:rPr>
        <w:t xml:space="preserve">Es folgten </w:t>
      </w:r>
      <w:r w:rsidR="00226748" w:rsidRPr="00E978DD">
        <w:rPr>
          <w:rFonts w:ascii="Arial" w:hAnsi="Arial"/>
        </w:rPr>
        <w:t>Biomasse, Biogas und biologisch abbaubare Abfälle</w:t>
      </w:r>
      <w:r w:rsidR="00A70E95" w:rsidRPr="00E978DD">
        <w:rPr>
          <w:rFonts w:ascii="Arial" w:hAnsi="Arial"/>
        </w:rPr>
        <w:t xml:space="preserve"> (</w:t>
      </w:r>
      <w:r w:rsidR="00E978DD" w:rsidRPr="00E978DD">
        <w:rPr>
          <w:rFonts w:ascii="Arial" w:hAnsi="Arial"/>
        </w:rPr>
        <w:t>8</w:t>
      </w:r>
      <w:r w:rsidR="00A70E95" w:rsidRPr="00E978DD">
        <w:rPr>
          <w:rFonts w:ascii="Arial" w:hAnsi="Arial"/>
        </w:rPr>
        <w:t>,</w:t>
      </w:r>
      <w:r w:rsidRPr="00E978DD">
        <w:rPr>
          <w:rFonts w:ascii="Arial" w:hAnsi="Arial"/>
        </w:rPr>
        <w:t>8</w:t>
      </w:r>
      <w:r w:rsidR="00A70E95" w:rsidRPr="00E978DD">
        <w:rPr>
          <w:rFonts w:ascii="Arial" w:hAnsi="Arial"/>
        </w:rPr>
        <w:t xml:space="preserve"> Prozent), </w:t>
      </w:r>
      <w:r w:rsidR="00226748" w:rsidRPr="00E978DD">
        <w:rPr>
          <w:rFonts w:ascii="Arial" w:hAnsi="Arial"/>
        </w:rPr>
        <w:t>Kernenergie (</w:t>
      </w:r>
      <w:r w:rsidR="00E978DD" w:rsidRPr="00E978DD">
        <w:rPr>
          <w:rFonts w:ascii="Arial" w:hAnsi="Arial"/>
        </w:rPr>
        <w:t>4,7</w:t>
      </w:r>
      <w:r w:rsidR="00226748" w:rsidRPr="00E978DD">
        <w:rPr>
          <w:rFonts w:ascii="Arial" w:hAnsi="Arial"/>
        </w:rPr>
        <w:t xml:space="preserve"> Prozent),</w:t>
      </w:r>
      <w:r w:rsidR="00A70E95" w:rsidRPr="00E978DD">
        <w:rPr>
          <w:rFonts w:ascii="Arial" w:hAnsi="Arial"/>
        </w:rPr>
        <w:t xml:space="preserve"> </w:t>
      </w:r>
      <w:r w:rsidR="00E978DD" w:rsidRPr="00E978DD">
        <w:rPr>
          <w:rFonts w:ascii="Arial" w:hAnsi="Arial"/>
        </w:rPr>
        <w:t>neue erneuerbare Energien (3,1 Prozent)</w:t>
      </w:r>
      <w:r w:rsidR="00E978DD">
        <w:rPr>
          <w:rFonts w:ascii="Arial" w:hAnsi="Arial"/>
        </w:rPr>
        <w:t xml:space="preserve"> und W</w:t>
      </w:r>
      <w:r w:rsidR="00E978DD" w:rsidRPr="00E978DD">
        <w:rPr>
          <w:rFonts w:ascii="Arial" w:hAnsi="Arial"/>
        </w:rPr>
        <w:t>asserkraft (2,5 Prozent)</w:t>
      </w:r>
      <w:r w:rsidR="003626D8" w:rsidRPr="00E978DD">
        <w:rPr>
          <w:rFonts w:ascii="Arial" w:hAnsi="Arial"/>
        </w:rPr>
        <w:t>.</w:t>
      </w:r>
    </w:p>
    <w:p w14:paraId="512E5BBA" w14:textId="77777777" w:rsidR="002D01EA" w:rsidRDefault="002D01EA">
      <w:pPr>
        <w:rPr>
          <w:rFonts w:ascii="Arial" w:hAnsi="Arial"/>
        </w:rPr>
      </w:pPr>
    </w:p>
    <w:p w14:paraId="1ADBF458" w14:textId="51BBCC8F" w:rsidR="003626D8" w:rsidRDefault="00226748">
      <w:pPr>
        <w:rPr>
          <w:rFonts w:ascii="Arial" w:hAnsi="Arial"/>
        </w:rPr>
      </w:pPr>
      <w:r w:rsidRPr="00E978DD">
        <w:rPr>
          <w:rFonts w:ascii="Arial" w:hAnsi="Arial"/>
        </w:rPr>
        <w:t xml:space="preserve">1973 lag der Anteil des Öls an der Primärenergie-Versorgung mit 46,1 Prozent noch </w:t>
      </w:r>
      <w:r w:rsidR="00CA35F9" w:rsidRPr="00E978DD">
        <w:rPr>
          <w:rFonts w:ascii="Arial" w:hAnsi="Arial"/>
        </w:rPr>
        <w:t>1</w:t>
      </w:r>
      <w:r w:rsidR="00E978DD" w:rsidRPr="00E978DD">
        <w:rPr>
          <w:rFonts w:ascii="Arial" w:hAnsi="Arial"/>
        </w:rPr>
        <w:t>5</w:t>
      </w:r>
      <w:r w:rsidRPr="00E978DD">
        <w:rPr>
          <w:rFonts w:ascii="Arial" w:hAnsi="Arial"/>
        </w:rPr>
        <w:t>,</w:t>
      </w:r>
      <w:r w:rsidR="00E978DD" w:rsidRPr="00E978DD">
        <w:rPr>
          <w:rFonts w:ascii="Arial" w:hAnsi="Arial"/>
        </w:rPr>
        <w:t>9</w:t>
      </w:r>
      <w:r w:rsidRPr="00E978DD">
        <w:rPr>
          <w:rFonts w:ascii="Arial" w:hAnsi="Arial"/>
        </w:rPr>
        <w:t xml:space="preserve"> Prozentpunkte höher als 20</w:t>
      </w:r>
      <w:r w:rsidR="007F6216" w:rsidRPr="00E978DD">
        <w:rPr>
          <w:rFonts w:ascii="Arial" w:hAnsi="Arial"/>
        </w:rPr>
        <w:t>2</w:t>
      </w:r>
      <w:r w:rsidR="00E978DD" w:rsidRPr="00E978DD">
        <w:rPr>
          <w:rFonts w:ascii="Arial" w:hAnsi="Arial"/>
        </w:rPr>
        <w:t>2</w:t>
      </w:r>
      <w:r w:rsidRPr="00E978DD">
        <w:rPr>
          <w:rFonts w:ascii="Arial" w:hAnsi="Arial"/>
        </w:rPr>
        <w:t>. Allerdings sagt der relative Rückgang nichts über die Entwicklung der absolut bereitgestellten Öl-Menge aus: Diese nahm zwischen 1973 und 20</w:t>
      </w:r>
      <w:r w:rsidR="007F6216" w:rsidRPr="00E978DD">
        <w:rPr>
          <w:rFonts w:ascii="Arial" w:hAnsi="Arial"/>
        </w:rPr>
        <w:t>2</w:t>
      </w:r>
      <w:r w:rsidR="00E978DD" w:rsidRPr="00E978DD">
        <w:rPr>
          <w:rFonts w:ascii="Arial" w:hAnsi="Arial"/>
        </w:rPr>
        <w:t>2</w:t>
      </w:r>
      <w:r w:rsidRPr="00E978DD">
        <w:rPr>
          <w:rFonts w:ascii="Arial" w:hAnsi="Arial"/>
        </w:rPr>
        <w:t xml:space="preserve"> um </w:t>
      </w:r>
      <w:r w:rsidR="00C315BF">
        <w:rPr>
          <w:rFonts w:ascii="Arial" w:hAnsi="Arial"/>
        </w:rPr>
        <w:t>knapp 60</w:t>
      </w:r>
      <w:r w:rsidRPr="00E978DD">
        <w:rPr>
          <w:rFonts w:ascii="Arial" w:hAnsi="Arial"/>
        </w:rPr>
        <w:t xml:space="preserve"> Prozent zu. Die Anteile von Kohle und Gas an der weltweiten Primärenergie-Versorgung erhöhten sich im selben Zeitraum um </w:t>
      </w:r>
      <w:r w:rsidR="00E978DD" w:rsidRPr="00E978DD">
        <w:rPr>
          <w:rFonts w:ascii="Arial" w:hAnsi="Arial"/>
        </w:rPr>
        <w:t>3,1</w:t>
      </w:r>
      <w:r w:rsidRPr="00E978DD">
        <w:rPr>
          <w:rFonts w:ascii="Arial" w:hAnsi="Arial"/>
        </w:rPr>
        <w:t xml:space="preserve"> bzw. </w:t>
      </w:r>
      <w:r w:rsidR="00F007C2" w:rsidRPr="00E978DD">
        <w:rPr>
          <w:rFonts w:ascii="Arial" w:hAnsi="Arial"/>
        </w:rPr>
        <w:t>7,</w:t>
      </w:r>
      <w:r w:rsidR="00E978DD" w:rsidRPr="00E978DD">
        <w:rPr>
          <w:rFonts w:ascii="Arial" w:hAnsi="Arial"/>
        </w:rPr>
        <w:t>1</w:t>
      </w:r>
      <w:r w:rsidRPr="00E978DD">
        <w:rPr>
          <w:rFonts w:ascii="Arial" w:hAnsi="Arial"/>
        </w:rPr>
        <w:t xml:space="preserve"> Prozentpunkte. Die absolut bereitgestellte Menge stieg um </w:t>
      </w:r>
      <w:r w:rsidR="008B4E60" w:rsidRPr="00E978DD">
        <w:rPr>
          <w:rFonts w:ascii="Arial" w:hAnsi="Arial"/>
        </w:rPr>
        <w:t xml:space="preserve">rund </w:t>
      </w:r>
      <w:r w:rsidRPr="00E978DD">
        <w:rPr>
          <w:rFonts w:ascii="Arial" w:hAnsi="Arial"/>
        </w:rPr>
        <w:t>1</w:t>
      </w:r>
      <w:r w:rsidR="00E978DD" w:rsidRPr="00E978DD">
        <w:rPr>
          <w:rFonts w:ascii="Arial" w:hAnsi="Arial"/>
        </w:rPr>
        <w:t>75</w:t>
      </w:r>
      <w:r w:rsidRPr="00E978DD">
        <w:rPr>
          <w:rFonts w:ascii="Arial" w:hAnsi="Arial"/>
        </w:rPr>
        <w:t xml:space="preserve"> Prozent (Kohle) bzw. </w:t>
      </w:r>
      <w:r w:rsidR="00C315BF">
        <w:rPr>
          <w:rFonts w:ascii="Arial" w:hAnsi="Arial"/>
        </w:rPr>
        <w:t xml:space="preserve">gut </w:t>
      </w:r>
      <w:r w:rsidR="00A901EA" w:rsidRPr="00E978DD">
        <w:rPr>
          <w:rFonts w:ascii="Arial" w:hAnsi="Arial"/>
        </w:rPr>
        <w:t>2</w:t>
      </w:r>
      <w:r w:rsidR="00E978DD" w:rsidRPr="00E978DD">
        <w:rPr>
          <w:rFonts w:ascii="Arial" w:hAnsi="Arial"/>
        </w:rPr>
        <w:t>50</w:t>
      </w:r>
      <w:r w:rsidRPr="00E978DD">
        <w:rPr>
          <w:rFonts w:ascii="Arial" w:hAnsi="Arial"/>
        </w:rPr>
        <w:t xml:space="preserve"> Prozent (Gas)</w:t>
      </w:r>
      <w:r w:rsidR="003626D8" w:rsidRPr="00E978DD">
        <w:rPr>
          <w:rFonts w:ascii="Arial" w:hAnsi="Arial"/>
        </w:rPr>
        <w:t>.</w:t>
      </w:r>
    </w:p>
    <w:p w14:paraId="6F700576" w14:textId="77777777" w:rsidR="00580B3D" w:rsidRDefault="00580B3D">
      <w:pPr>
        <w:rPr>
          <w:rFonts w:ascii="Arial" w:hAnsi="Arial"/>
        </w:rPr>
      </w:pPr>
    </w:p>
    <w:p w14:paraId="539A74BA" w14:textId="16FEF600" w:rsidR="003626D8" w:rsidRDefault="00226748">
      <w:pPr>
        <w:rPr>
          <w:rFonts w:ascii="Arial" w:hAnsi="Arial"/>
        </w:rPr>
      </w:pPr>
      <w:r w:rsidRPr="00A47C51">
        <w:rPr>
          <w:rFonts w:ascii="Arial" w:hAnsi="Arial"/>
        </w:rPr>
        <w:t>Relativ am stärksten erhöhten sich zwischen 1973 und 20</w:t>
      </w:r>
      <w:r w:rsidR="0039452E" w:rsidRPr="00A47C51">
        <w:rPr>
          <w:rFonts w:ascii="Arial" w:hAnsi="Arial"/>
        </w:rPr>
        <w:t>2</w:t>
      </w:r>
      <w:r w:rsidR="00A84197" w:rsidRPr="00A47C51">
        <w:rPr>
          <w:rFonts w:ascii="Arial" w:hAnsi="Arial"/>
        </w:rPr>
        <w:t>2</w:t>
      </w:r>
      <w:r w:rsidRPr="00A47C51">
        <w:rPr>
          <w:rFonts w:ascii="Arial" w:hAnsi="Arial"/>
        </w:rPr>
        <w:t xml:space="preserve"> die Anteile der neuen erneuerbaren Energien und der Kernenergie an der weltweiten Primärenergie-Versorgung. Während sich der Anteil der neuen erneuerbaren Energien (Geothermie, Solar-, Wind- und Meeresenergie) von 0,1 auf </w:t>
      </w:r>
      <w:r w:rsidR="00A84197" w:rsidRPr="00A47C51">
        <w:rPr>
          <w:rFonts w:ascii="Arial" w:hAnsi="Arial"/>
        </w:rPr>
        <w:t>3,1</w:t>
      </w:r>
      <w:r w:rsidRPr="00A47C51">
        <w:rPr>
          <w:rFonts w:ascii="Arial" w:hAnsi="Arial"/>
        </w:rPr>
        <w:t xml:space="preserve"> Prozent erhöhte, wuchs der Anteil der Kernenergie von 0,9 auf </w:t>
      </w:r>
      <w:r w:rsidR="00A84197" w:rsidRPr="00A47C51">
        <w:rPr>
          <w:rFonts w:ascii="Arial" w:hAnsi="Arial"/>
        </w:rPr>
        <w:t>4</w:t>
      </w:r>
      <w:r w:rsidRPr="00A47C51">
        <w:rPr>
          <w:rFonts w:ascii="Arial" w:hAnsi="Arial"/>
        </w:rPr>
        <w:t>,</w:t>
      </w:r>
      <w:r w:rsidR="00A84197" w:rsidRPr="00A47C51">
        <w:rPr>
          <w:rFonts w:ascii="Arial" w:hAnsi="Arial"/>
        </w:rPr>
        <w:t>7</w:t>
      </w:r>
      <w:r w:rsidRPr="00A47C51">
        <w:rPr>
          <w:rFonts w:ascii="Arial" w:hAnsi="Arial"/>
        </w:rPr>
        <w:t xml:space="preserve"> Prozent. Die absolut bereitgestellte Menge stieg dabei um </w:t>
      </w:r>
      <w:r w:rsidR="0039452E" w:rsidRPr="00A47C51">
        <w:rPr>
          <w:rFonts w:ascii="Arial" w:hAnsi="Arial"/>
        </w:rPr>
        <w:t>rund</w:t>
      </w:r>
      <w:r w:rsidR="00AE3D26" w:rsidRPr="00A47C51">
        <w:rPr>
          <w:rFonts w:ascii="Arial" w:hAnsi="Arial"/>
        </w:rPr>
        <w:t xml:space="preserve"> </w:t>
      </w:r>
      <w:r w:rsidR="00A84197" w:rsidRPr="00A47C51">
        <w:rPr>
          <w:rFonts w:ascii="Arial" w:hAnsi="Arial"/>
        </w:rPr>
        <w:t>7</w:t>
      </w:r>
      <w:r w:rsidRPr="00A47C51">
        <w:rPr>
          <w:rFonts w:ascii="Arial" w:hAnsi="Arial"/>
        </w:rPr>
        <w:t>.</w:t>
      </w:r>
      <w:r w:rsidR="00A84197" w:rsidRPr="00A47C51">
        <w:rPr>
          <w:rFonts w:ascii="Arial" w:hAnsi="Arial"/>
        </w:rPr>
        <w:t>3</w:t>
      </w:r>
      <w:r w:rsidR="00A901EA" w:rsidRPr="00A47C51">
        <w:rPr>
          <w:rFonts w:ascii="Arial" w:hAnsi="Arial"/>
        </w:rPr>
        <w:t>0</w:t>
      </w:r>
      <w:r w:rsidRPr="00A47C51">
        <w:rPr>
          <w:rFonts w:ascii="Arial" w:hAnsi="Arial"/>
        </w:rPr>
        <w:t xml:space="preserve">0 Prozent (neue erneuerbare Energien) bzw. </w:t>
      </w:r>
      <w:r w:rsidR="00606CD4" w:rsidRPr="00A47C51">
        <w:rPr>
          <w:rFonts w:ascii="Arial" w:hAnsi="Arial"/>
        </w:rPr>
        <w:t xml:space="preserve">um rund </w:t>
      </w:r>
      <w:r w:rsidRPr="00A47C51">
        <w:rPr>
          <w:rFonts w:ascii="Arial" w:hAnsi="Arial"/>
        </w:rPr>
        <w:t>1.</w:t>
      </w:r>
      <w:r w:rsidR="00606CD4" w:rsidRPr="00A47C51">
        <w:rPr>
          <w:rFonts w:ascii="Arial" w:hAnsi="Arial"/>
        </w:rPr>
        <w:t>20</w:t>
      </w:r>
      <w:r w:rsidRPr="00A47C51">
        <w:rPr>
          <w:rFonts w:ascii="Arial" w:hAnsi="Arial"/>
        </w:rPr>
        <w:t>0 Prozent (Kernenergie).</w:t>
      </w:r>
      <w:r w:rsidR="0088228E" w:rsidRPr="00A47C51">
        <w:rPr>
          <w:rFonts w:ascii="Arial" w:hAnsi="Arial"/>
        </w:rPr>
        <w:t xml:space="preserve"> </w:t>
      </w:r>
      <w:r w:rsidRPr="00A47C51">
        <w:rPr>
          <w:rFonts w:ascii="Arial" w:hAnsi="Arial"/>
        </w:rPr>
        <w:t xml:space="preserve">Allerdings </w:t>
      </w:r>
      <w:r w:rsidR="00F6003B" w:rsidRPr="00A47C51">
        <w:rPr>
          <w:rFonts w:ascii="Arial" w:hAnsi="Arial"/>
        </w:rPr>
        <w:t xml:space="preserve">ist der </w:t>
      </w:r>
      <w:r w:rsidRPr="00A47C51">
        <w:rPr>
          <w:rFonts w:ascii="Arial" w:hAnsi="Arial"/>
        </w:rPr>
        <w:t xml:space="preserve">Anteil der Kernenergie an der weltweiten Primärenergie-Versorgung </w:t>
      </w:r>
      <w:r w:rsidR="00F6003B" w:rsidRPr="00A47C51">
        <w:rPr>
          <w:rFonts w:ascii="Arial" w:hAnsi="Arial"/>
        </w:rPr>
        <w:t>nicht durchgängig gestiegen</w:t>
      </w:r>
      <w:r w:rsidR="00DB2E08" w:rsidRPr="00A47C51">
        <w:rPr>
          <w:rFonts w:ascii="Arial" w:hAnsi="Arial"/>
        </w:rPr>
        <w:t xml:space="preserve"> – z</w:t>
      </w:r>
      <w:r w:rsidR="00DC51CC" w:rsidRPr="00A47C51">
        <w:rPr>
          <w:rFonts w:ascii="Arial" w:hAnsi="Arial"/>
        </w:rPr>
        <w:t>wischen 2001 und 2013</w:t>
      </w:r>
      <w:r w:rsidRPr="00A47C51">
        <w:rPr>
          <w:rFonts w:ascii="Arial" w:hAnsi="Arial"/>
        </w:rPr>
        <w:t xml:space="preserve"> </w:t>
      </w:r>
      <w:r w:rsidR="00F6003B" w:rsidRPr="00A47C51">
        <w:rPr>
          <w:rFonts w:ascii="Arial" w:hAnsi="Arial"/>
        </w:rPr>
        <w:t xml:space="preserve">ging er </w:t>
      </w:r>
      <w:r w:rsidR="00DC51CC" w:rsidRPr="00A47C51">
        <w:rPr>
          <w:rFonts w:ascii="Arial" w:hAnsi="Arial"/>
        </w:rPr>
        <w:t xml:space="preserve">von 6,9 auf 4,8 </w:t>
      </w:r>
      <w:r w:rsidR="00F6003B" w:rsidRPr="00A47C51">
        <w:rPr>
          <w:rFonts w:ascii="Arial" w:hAnsi="Arial"/>
        </w:rPr>
        <w:t xml:space="preserve">Prozent </w:t>
      </w:r>
      <w:r w:rsidR="00DC51CC" w:rsidRPr="00A47C51">
        <w:rPr>
          <w:rFonts w:ascii="Arial" w:hAnsi="Arial"/>
        </w:rPr>
        <w:t>zurück</w:t>
      </w:r>
      <w:r w:rsidR="00694043" w:rsidRPr="00A47C51">
        <w:rPr>
          <w:rFonts w:ascii="Arial" w:hAnsi="Arial"/>
        </w:rPr>
        <w:t xml:space="preserve"> (von 20</w:t>
      </w:r>
      <w:r w:rsidR="00A84197" w:rsidRPr="00A47C51">
        <w:rPr>
          <w:rFonts w:ascii="Arial" w:hAnsi="Arial"/>
        </w:rPr>
        <w:t>19</w:t>
      </w:r>
      <w:r w:rsidR="00694043" w:rsidRPr="00A47C51">
        <w:rPr>
          <w:rFonts w:ascii="Arial" w:hAnsi="Arial"/>
        </w:rPr>
        <w:t xml:space="preserve"> bis 20</w:t>
      </w:r>
      <w:r w:rsidR="00A84197" w:rsidRPr="00A47C51">
        <w:rPr>
          <w:rFonts w:ascii="Arial" w:hAnsi="Arial"/>
        </w:rPr>
        <w:t>21</w:t>
      </w:r>
      <w:r w:rsidR="00694043" w:rsidRPr="00A47C51">
        <w:rPr>
          <w:rFonts w:ascii="Arial" w:hAnsi="Arial"/>
        </w:rPr>
        <w:t xml:space="preserve"> lag er bei </w:t>
      </w:r>
      <w:r w:rsidR="00A84197" w:rsidRPr="00A47C51">
        <w:rPr>
          <w:rFonts w:ascii="Arial" w:hAnsi="Arial"/>
        </w:rPr>
        <w:t>5,0</w:t>
      </w:r>
      <w:r w:rsidR="00694043" w:rsidRPr="00A47C51">
        <w:rPr>
          <w:rFonts w:ascii="Arial" w:hAnsi="Arial"/>
        </w:rPr>
        <w:t xml:space="preserve"> Prozent)</w:t>
      </w:r>
      <w:r w:rsidR="00F6003B" w:rsidRPr="00A47C51">
        <w:rPr>
          <w:rFonts w:ascii="Arial" w:hAnsi="Arial"/>
        </w:rPr>
        <w:t>. D</w:t>
      </w:r>
      <w:r w:rsidRPr="00A47C51">
        <w:rPr>
          <w:rFonts w:ascii="Arial" w:hAnsi="Arial"/>
        </w:rPr>
        <w:t xml:space="preserve">er Anteil der neuen erneuerbaren Energien </w:t>
      </w:r>
      <w:r w:rsidR="00F6003B" w:rsidRPr="00A47C51">
        <w:rPr>
          <w:rFonts w:ascii="Arial" w:hAnsi="Arial"/>
        </w:rPr>
        <w:t>nahm hingegen im gesamten Zeitraum zu</w:t>
      </w:r>
      <w:r w:rsidR="003626D8" w:rsidRPr="00A47C51">
        <w:rPr>
          <w:rFonts w:ascii="Arial" w:hAnsi="Arial"/>
        </w:rPr>
        <w:t>.</w:t>
      </w:r>
    </w:p>
    <w:p w14:paraId="70108D14" w14:textId="77777777" w:rsidR="00580B3D" w:rsidRDefault="00580B3D">
      <w:pPr>
        <w:rPr>
          <w:rFonts w:ascii="Arial" w:hAnsi="Arial"/>
        </w:rPr>
      </w:pPr>
    </w:p>
    <w:p w14:paraId="3FBF25DC" w14:textId="63D08E31" w:rsidR="003626D8" w:rsidRDefault="00226748">
      <w:pPr>
        <w:rPr>
          <w:rFonts w:ascii="Arial" w:hAnsi="Arial"/>
        </w:rPr>
      </w:pPr>
      <w:r w:rsidRPr="0037675F">
        <w:rPr>
          <w:rFonts w:ascii="Arial" w:hAnsi="Arial"/>
        </w:rPr>
        <w:lastRenderedPageBreak/>
        <w:t xml:space="preserve">Bei einem Vergleich der Anteile von Kernenergie und erneuerbaren Energien an der Primärenergie-Versorgung bzw. am Primärenergie-Verbrauch ist zu beachten, dass es unterschiedliche Erhebungsmethoden gibt. Die IEA, auf deren Zahlen hier zurückgegriffen wird, verwendet die sogenannte Wirkungsgradmethode. Verglichen mit der tatsächlich zur Verfügung stehenden Energie (Endenergie/Sekundärenergie) führt diese Methode dazu, dass die erneuerbaren Energien insgesamt gegenüber der Kernenergie unterrepräsentiert sind. Alternativ kann auf die sogenannte Substitutionsmethode zurückgegriffen werden: Der absolute Wert der Primärenergie-Versorgung auf der Basis von zum Beispiel Wasser, Wind und Photovoltaik ist nach dieser Berechnungsmethode </w:t>
      </w:r>
      <w:r w:rsidR="008C4E33" w:rsidRPr="0037675F">
        <w:rPr>
          <w:rFonts w:ascii="Arial" w:hAnsi="Arial"/>
        </w:rPr>
        <w:t>rund</w:t>
      </w:r>
      <w:r w:rsidRPr="0037675F">
        <w:rPr>
          <w:rFonts w:ascii="Arial" w:hAnsi="Arial"/>
        </w:rPr>
        <w:t xml:space="preserve"> zweieinhalbmal so hoch wie bei der Wirkungsgradmethode</w:t>
      </w:r>
      <w:r w:rsidR="003626D8" w:rsidRPr="0037675F">
        <w:rPr>
          <w:rFonts w:ascii="Arial" w:hAnsi="Arial"/>
        </w:rPr>
        <w:t>.</w:t>
      </w:r>
    </w:p>
    <w:p w14:paraId="34DAE835" w14:textId="77777777" w:rsidR="00580B3D" w:rsidRDefault="00580B3D">
      <w:pPr>
        <w:rPr>
          <w:rFonts w:ascii="Arial" w:hAnsi="Arial"/>
        </w:rPr>
      </w:pPr>
    </w:p>
    <w:p w14:paraId="0BB061BE" w14:textId="09EDB022" w:rsidR="003626D8" w:rsidRDefault="00226748">
      <w:pPr>
        <w:rPr>
          <w:rFonts w:ascii="Arial" w:hAnsi="Arial"/>
        </w:rPr>
      </w:pPr>
      <w:r w:rsidRPr="0037675F">
        <w:rPr>
          <w:rFonts w:ascii="Arial" w:hAnsi="Arial"/>
        </w:rPr>
        <w:t>Es gibt verschiedene Möglichkeiten, den Verbrauch fossiler Brennstoffe und die damit verbundenen negativen ökologischen Folgen zu reduzieren. Die wichtigsten sind die Veränderung de</w:t>
      </w:r>
      <w:r w:rsidR="0037675F">
        <w:rPr>
          <w:rFonts w:ascii="Arial" w:hAnsi="Arial"/>
        </w:rPr>
        <w:t xml:space="preserve">r Produktions- und </w:t>
      </w:r>
      <w:r w:rsidRPr="0037675F">
        <w:rPr>
          <w:rFonts w:ascii="Arial" w:hAnsi="Arial"/>
        </w:rPr>
        <w:t>Konsum</w:t>
      </w:r>
      <w:r w:rsidR="0037675F">
        <w:rPr>
          <w:rFonts w:ascii="Arial" w:hAnsi="Arial"/>
        </w:rPr>
        <w:t>muster</w:t>
      </w:r>
      <w:r w:rsidRPr="0037675F">
        <w:rPr>
          <w:rFonts w:ascii="Arial" w:hAnsi="Arial"/>
        </w:rPr>
        <w:t>, die Steigerung der Energieeffizienz und die</w:t>
      </w:r>
      <w:r w:rsidR="00BD5272" w:rsidRPr="0037675F">
        <w:rPr>
          <w:rFonts w:ascii="Arial" w:hAnsi="Arial"/>
        </w:rPr>
        <w:t xml:space="preserve"> Nutzung erneuerbarer Energien. </w:t>
      </w:r>
      <w:r w:rsidRPr="00165F73">
        <w:rPr>
          <w:rFonts w:ascii="Arial" w:hAnsi="Arial"/>
        </w:rPr>
        <w:t>Wird die Energie auf Basis von Wasserkraft, Biomasse, Biogas und biologisch abbaubaren Abfällen</w:t>
      </w:r>
      <w:r w:rsidR="004651E2" w:rsidRPr="00165F73">
        <w:rPr>
          <w:rFonts w:ascii="Arial" w:hAnsi="Arial"/>
        </w:rPr>
        <w:t xml:space="preserve"> uneingeschränkt</w:t>
      </w:r>
      <w:r w:rsidRPr="00165F73">
        <w:rPr>
          <w:rFonts w:ascii="Arial" w:hAnsi="Arial"/>
        </w:rPr>
        <w:t xml:space="preserve"> zu den erneuerbaren Energien hinzugezählt, lag der Anteil der erneuerbaren Energien an der Primärenergie-Versorgung im Jahr 20</w:t>
      </w:r>
      <w:r w:rsidR="0079725A" w:rsidRPr="00165F73">
        <w:rPr>
          <w:rFonts w:ascii="Arial" w:hAnsi="Arial"/>
        </w:rPr>
        <w:t>2</w:t>
      </w:r>
      <w:r w:rsidR="00165F73">
        <w:rPr>
          <w:rFonts w:ascii="Arial" w:hAnsi="Arial"/>
        </w:rPr>
        <w:t>2</w:t>
      </w:r>
      <w:r w:rsidRPr="00165F73">
        <w:rPr>
          <w:rFonts w:ascii="Arial" w:hAnsi="Arial"/>
        </w:rPr>
        <w:t xml:space="preserve"> bei 1</w:t>
      </w:r>
      <w:r w:rsidR="0079725A" w:rsidRPr="00165F73">
        <w:rPr>
          <w:rFonts w:ascii="Arial" w:hAnsi="Arial"/>
        </w:rPr>
        <w:t>4</w:t>
      </w:r>
      <w:r w:rsidRPr="00165F73">
        <w:rPr>
          <w:rFonts w:ascii="Arial" w:hAnsi="Arial"/>
        </w:rPr>
        <w:t>,</w:t>
      </w:r>
      <w:r w:rsidR="00165F73" w:rsidRPr="00165F73">
        <w:rPr>
          <w:rFonts w:ascii="Arial" w:hAnsi="Arial"/>
        </w:rPr>
        <w:t>0</w:t>
      </w:r>
      <w:r w:rsidR="00471B8B" w:rsidRPr="00165F73">
        <w:rPr>
          <w:rFonts w:ascii="Arial" w:hAnsi="Arial"/>
        </w:rPr>
        <w:t xml:space="preserve"> </w:t>
      </w:r>
      <w:r w:rsidRPr="00165F73">
        <w:rPr>
          <w:rFonts w:ascii="Arial" w:hAnsi="Arial"/>
        </w:rPr>
        <w:t>Prozent.</w:t>
      </w:r>
      <w:r w:rsidR="00471B8B" w:rsidRPr="00165F73">
        <w:rPr>
          <w:rFonts w:ascii="Arial" w:hAnsi="Arial"/>
        </w:rPr>
        <w:t xml:space="preserve"> </w:t>
      </w:r>
      <w:r w:rsidR="007E65CA" w:rsidRPr="00165F73">
        <w:rPr>
          <w:rFonts w:ascii="Arial" w:hAnsi="Arial"/>
        </w:rPr>
        <w:t>N</w:t>
      </w:r>
      <w:r w:rsidRPr="00165F73">
        <w:rPr>
          <w:rFonts w:ascii="Arial" w:hAnsi="Arial"/>
        </w:rPr>
        <w:t xml:space="preserve">ach Angaben der IEA entfielen davon </w:t>
      </w:r>
      <w:r w:rsidR="00423B1A" w:rsidRPr="00165F73">
        <w:rPr>
          <w:rFonts w:ascii="Arial" w:hAnsi="Arial"/>
        </w:rPr>
        <w:t>6</w:t>
      </w:r>
      <w:r w:rsidR="00165F73" w:rsidRPr="00165F73">
        <w:rPr>
          <w:rFonts w:ascii="Arial" w:hAnsi="Arial"/>
        </w:rPr>
        <w:t>0</w:t>
      </w:r>
      <w:r w:rsidRPr="00165F73">
        <w:rPr>
          <w:rFonts w:ascii="Arial" w:hAnsi="Arial"/>
        </w:rPr>
        <w:t>,</w:t>
      </w:r>
      <w:r w:rsidR="00165F73" w:rsidRPr="00165F73">
        <w:rPr>
          <w:rFonts w:ascii="Arial" w:hAnsi="Arial"/>
        </w:rPr>
        <w:t>2</w:t>
      </w:r>
      <w:r w:rsidRPr="00165F73">
        <w:rPr>
          <w:rFonts w:ascii="Arial" w:hAnsi="Arial"/>
        </w:rPr>
        <w:t xml:space="preserve"> Prozent auf Biomasse, Biogas und Abfälle (einschließlich Biokraftstoffe / ohne Industrieabfälle), 1</w:t>
      </w:r>
      <w:r w:rsidR="00031FBC" w:rsidRPr="00165F73">
        <w:rPr>
          <w:rFonts w:ascii="Arial" w:hAnsi="Arial"/>
        </w:rPr>
        <w:t>8</w:t>
      </w:r>
      <w:r w:rsidRPr="00165F73">
        <w:rPr>
          <w:rFonts w:ascii="Arial" w:hAnsi="Arial"/>
        </w:rPr>
        <w:t>,</w:t>
      </w:r>
      <w:r w:rsidR="00165F73" w:rsidRPr="00165F73">
        <w:rPr>
          <w:rFonts w:ascii="Arial" w:hAnsi="Arial"/>
        </w:rPr>
        <w:t>0</w:t>
      </w:r>
      <w:r w:rsidRPr="00165F73">
        <w:rPr>
          <w:rFonts w:ascii="Arial" w:hAnsi="Arial"/>
        </w:rPr>
        <w:t xml:space="preserve"> Prozent auf Wasserkraft und </w:t>
      </w:r>
      <w:r w:rsidR="00165F73" w:rsidRPr="00165F73">
        <w:rPr>
          <w:rFonts w:ascii="Arial" w:hAnsi="Arial"/>
        </w:rPr>
        <w:t>21</w:t>
      </w:r>
      <w:r w:rsidR="00471B8B" w:rsidRPr="00165F73">
        <w:rPr>
          <w:rFonts w:ascii="Arial" w:hAnsi="Arial"/>
        </w:rPr>
        <w:t>,</w:t>
      </w:r>
      <w:r w:rsidR="00165F73" w:rsidRPr="00165F73">
        <w:rPr>
          <w:rFonts w:ascii="Arial" w:hAnsi="Arial"/>
        </w:rPr>
        <w:t>8</w:t>
      </w:r>
      <w:r w:rsidRPr="00165F73">
        <w:rPr>
          <w:rFonts w:ascii="Arial" w:hAnsi="Arial"/>
        </w:rPr>
        <w:t xml:space="preserve"> Prozent auf neue erneuerbare Energien</w:t>
      </w:r>
      <w:r w:rsidR="003626D8" w:rsidRPr="00165F73">
        <w:rPr>
          <w:rFonts w:ascii="Arial" w:hAnsi="Arial"/>
        </w:rPr>
        <w:t>.</w:t>
      </w:r>
    </w:p>
    <w:p w14:paraId="3895A32F" w14:textId="77777777" w:rsidR="00580B3D" w:rsidRDefault="00580B3D">
      <w:pPr>
        <w:rPr>
          <w:rFonts w:ascii="Arial" w:hAnsi="Arial"/>
        </w:rPr>
      </w:pPr>
    </w:p>
    <w:p w14:paraId="5EA3D4D8" w14:textId="49F751CA" w:rsidR="009824A9" w:rsidRDefault="00226748" w:rsidP="009824A9">
      <w:pPr>
        <w:rPr>
          <w:rFonts w:ascii="Arial" w:hAnsi="Arial"/>
        </w:rPr>
      </w:pPr>
      <w:r w:rsidRPr="008C5A9C">
        <w:rPr>
          <w:rFonts w:ascii="Arial" w:hAnsi="Arial"/>
        </w:rPr>
        <w:t>Bei den Angaben zum Anteil der erneuerbaren Energien an der Versorgung mit Primärenergie ist zu berücksichtigen, dass die traditionelle Nutzung von Biomasse</w:t>
      </w:r>
      <w:r w:rsidR="00E10ACC" w:rsidRPr="008C5A9C">
        <w:rPr>
          <w:rFonts w:ascii="Arial" w:hAnsi="Arial"/>
        </w:rPr>
        <w:t xml:space="preserve"> häufig </w:t>
      </w:r>
      <w:r w:rsidRPr="008C5A9C">
        <w:rPr>
          <w:rFonts w:ascii="Arial" w:hAnsi="Arial"/>
        </w:rPr>
        <w:t xml:space="preserve">nicht nachhaltig ist. </w:t>
      </w:r>
      <w:r w:rsidR="00AB1DB2" w:rsidRPr="008C5A9C">
        <w:rPr>
          <w:rFonts w:ascii="Arial" w:hAnsi="Arial"/>
        </w:rPr>
        <w:t>E</w:t>
      </w:r>
      <w:r w:rsidRPr="008C5A9C">
        <w:rPr>
          <w:rFonts w:ascii="Arial" w:hAnsi="Arial"/>
        </w:rPr>
        <w:t xml:space="preserve">infache Formen des Kochens und Heizens </w:t>
      </w:r>
      <w:r w:rsidR="00AB1DB2" w:rsidRPr="008C5A9C">
        <w:rPr>
          <w:rFonts w:ascii="Arial" w:hAnsi="Arial"/>
        </w:rPr>
        <w:t xml:space="preserve">haben </w:t>
      </w:r>
      <w:r w:rsidRPr="008C5A9C">
        <w:rPr>
          <w:rFonts w:ascii="Arial" w:hAnsi="Arial"/>
        </w:rPr>
        <w:t xml:space="preserve">vielfach </w:t>
      </w:r>
      <w:r w:rsidR="00AB1DB2" w:rsidRPr="008C5A9C">
        <w:rPr>
          <w:rFonts w:ascii="Arial" w:hAnsi="Arial"/>
        </w:rPr>
        <w:t xml:space="preserve">die </w:t>
      </w:r>
      <w:r w:rsidRPr="008C5A9C">
        <w:rPr>
          <w:rFonts w:ascii="Arial" w:hAnsi="Arial"/>
        </w:rPr>
        <w:t xml:space="preserve">irreversible Abholzung </w:t>
      </w:r>
      <w:r w:rsidR="00AB1DB2" w:rsidRPr="008C5A9C">
        <w:rPr>
          <w:rFonts w:ascii="Arial" w:hAnsi="Arial"/>
        </w:rPr>
        <w:t xml:space="preserve">von </w:t>
      </w:r>
      <w:r w:rsidRPr="008C5A9C">
        <w:rPr>
          <w:rFonts w:ascii="Arial" w:hAnsi="Arial"/>
        </w:rPr>
        <w:t>Wälder</w:t>
      </w:r>
      <w:r w:rsidR="00AB1DB2" w:rsidRPr="008C5A9C">
        <w:rPr>
          <w:rFonts w:ascii="Arial" w:hAnsi="Arial"/>
        </w:rPr>
        <w:t>n</w:t>
      </w:r>
      <w:r w:rsidRPr="008C5A9C">
        <w:rPr>
          <w:rFonts w:ascii="Arial" w:hAnsi="Arial"/>
        </w:rPr>
        <w:t xml:space="preserve"> zur Folge.</w:t>
      </w:r>
      <w:r w:rsidR="00BD5272" w:rsidRPr="008C5A9C">
        <w:rPr>
          <w:rFonts w:ascii="Arial" w:hAnsi="Arial"/>
        </w:rPr>
        <w:t xml:space="preserve"> </w:t>
      </w:r>
      <w:r w:rsidR="00C41B49" w:rsidRPr="008C5A9C">
        <w:rPr>
          <w:rFonts w:ascii="Arial" w:hAnsi="Arial"/>
        </w:rPr>
        <w:t xml:space="preserve">Die Abholzung von (Regen-)Wäldern ist auch bei Teilen der Produktion von Biokraftstoffen ein Problem. Neben der Freisetzung gespeicherter Klimagase führt der Waldflächenverlust zu einem Verlust an </w:t>
      </w:r>
      <w:r w:rsidR="00AC33C0" w:rsidRPr="008C5A9C">
        <w:rPr>
          <w:rFonts w:ascii="Arial" w:hAnsi="Arial"/>
        </w:rPr>
        <w:t>biologischer Vielfalt</w:t>
      </w:r>
      <w:r w:rsidR="00C41B49" w:rsidRPr="008C5A9C">
        <w:rPr>
          <w:rFonts w:ascii="Arial" w:hAnsi="Arial"/>
        </w:rPr>
        <w:t>. Hinzu kommt, dass die angebauten Monokulturen einen hohen Pestizid- und Düngereinsatz erforderlich machen.</w:t>
      </w:r>
      <w:r w:rsidR="00DF6401" w:rsidRPr="008C5A9C">
        <w:rPr>
          <w:rFonts w:ascii="Arial" w:hAnsi="Arial"/>
        </w:rPr>
        <w:t xml:space="preserve"> Schließlich erzeugt </w:t>
      </w:r>
      <w:r w:rsidR="00985604" w:rsidRPr="008C5A9C">
        <w:rPr>
          <w:rFonts w:ascii="Arial" w:hAnsi="Arial"/>
        </w:rPr>
        <w:t>d</w:t>
      </w:r>
      <w:r w:rsidR="0075502B" w:rsidRPr="008C5A9C">
        <w:rPr>
          <w:rFonts w:ascii="Arial" w:hAnsi="Arial"/>
        </w:rPr>
        <w:t>ie Wasserkraft zwar sehr wenig Emissionen und Schadstoffe, sie greift dennoch erheblich in die Umwelt ein</w:t>
      </w:r>
      <w:r w:rsidR="00985604" w:rsidRPr="008C5A9C">
        <w:rPr>
          <w:rFonts w:ascii="Arial" w:hAnsi="Arial"/>
        </w:rPr>
        <w:t xml:space="preserve">. </w:t>
      </w:r>
      <w:r w:rsidR="009824A9" w:rsidRPr="008C5A9C">
        <w:rPr>
          <w:rFonts w:ascii="Arial" w:hAnsi="Arial"/>
        </w:rPr>
        <w:t xml:space="preserve">Insbesondere die Veränderung der Flussläufe </w:t>
      </w:r>
      <w:r w:rsidR="00C73858" w:rsidRPr="008C5A9C">
        <w:rPr>
          <w:rFonts w:ascii="Arial" w:hAnsi="Arial"/>
        </w:rPr>
        <w:t xml:space="preserve">bzw. </w:t>
      </w:r>
      <w:r w:rsidR="009824A9" w:rsidRPr="008C5A9C">
        <w:rPr>
          <w:rFonts w:ascii="Arial" w:hAnsi="Arial"/>
        </w:rPr>
        <w:t xml:space="preserve">der Auenlandschaften gehen mit negativen ökologischen Folgen </w:t>
      </w:r>
      <w:r w:rsidR="00130991" w:rsidRPr="008C5A9C">
        <w:rPr>
          <w:rFonts w:ascii="Arial" w:hAnsi="Arial"/>
        </w:rPr>
        <w:t xml:space="preserve">wie der Absenkung des Grundwasserspiegels und dem Verlust an Artenvielfalt </w:t>
      </w:r>
      <w:r w:rsidR="009824A9" w:rsidRPr="008C5A9C">
        <w:rPr>
          <w:rFonts w:ascii="Arial" w:hAnsi="Arial"/>
        </w:rPr>
        <w:t>einher.</w:t>
      </w:r>
      <w:r w:rsidR="00AC33C0" w:rsidRPr="008C5A9C">
        <w:rPr>
          <w:rFonts w:ascii="Arial" w:hAnsi="Arial"/>
        </w:rPr>
        <w:t xml:space="preserve"> Hinzu kommen die Flächenverluste </w:t>
      </w:r>
      <w:r w:rsidR="00DF6401" w:rsidRPr="008C5A9C">
        <w:rPr>
          <w:rFonts w:ascii="Arial" w:hAnsi="Arial"/>
        </w:rPr>
        <w:t xml:space="preserve">durch </w:t>
      </w:r>
      <w:r w:rsidR="00AC33C0" w:rsidRPr="008C5A9C">
        <w:rPr>
          <w:rFonts w:ascii="Arial" w:hAnsi="Arial"/>
        </w:rPr>
        <w:t xml:space="preserve">Stauseen. </w:t>
      </w:r>
      <w:r w:rsidR="009824A9" w:rsidRPr="008C5A9C">
        <w:rPr>
          <w:rFonts w:ascii="Arial" w:hAnsi="Arial"/>
        </w:rPr>
        <w:t xml:space="preserve">Ohne </w:t>
      </w:r>
      <w:r w:rsidR="004E020A" w:rsidRPr="008C5A9C">
        <w:rPr>
          <w:rFonts w:ascii="Arial" w:hAnsi="Arial"/>
        </w:rPr>
        <w:t>zusätzliche</w:t>
      </w:r>
      <w:r w:rsidR="009824A9" w:rsidRPr="008C5A9C">
        <w:rPr>
          <w:rFonts w:ascii="Arial" w:hAnsi="Arial"/>
        </w:rPr>
        <w:t xml:space="preserve"> Maßnahmen </w:t>
      </w:r>
      <w:r w:rsidR="004E020A" w:rsidRPr="008C5A9C">
        <w:rPr>
          <w:rFonts w:ascii="Arial" w:hAnsi="Arial"/>
        </w:rPr>
        <w:t xml:space="preserve">bei der Planung und Umsetzung von Wasserkraftwerken </w:t>
      </w:r>
      <w:r w:rsidR="00AC33C0" w:rsidRPr="008C5A9C">
        <w:rPr>
          <w:rFonts w:ascii="Arial" w:hAnsi="Arial"/>
        </w:rPr>
        <w:t>entstehen diese Probleme u</w:t>
      </w:r>
      <w:r w:rsidR="004E020A" w:rsidRPr="008C5A9C">
        <w:rPr>
          <w:rFonts w:ascii="Arial" w:hAnsi="Arial"/>
        </w:rPr>
        <w:t>nabhängig von der Größe der K</w:t>
      </w:r>
      <w:r w:rsidR="009824A9" w:rsidRPr="008C5A9C">
        <w:rPr>
          <w:rFonts w:ascii="Arial" w:hAnsi="Arial"/>
        </w:rPr>
        <w:t>raftwerke.</w:t>
      </w:r>
    </w:p>
    <w:p w14:paraId="6552BD00" w14:textId="77777777" w:rsidR="00580B3D" w:rsidRDefault="00580B3D" w:rsidP="009824A9">
      <w:pPr>
        <w:rPr>
          <w:rFonts w:ascii="Arial" w:hAnsi="Arial"/>
        </w:rPr>
      </w:pPr>
    </w:p>
    <w:p w14:paraId="4C852BC8" w14:textId="1063EB8E" w:rsidR="009D227D" w:rsidRPr="0020359C" w:rsidRDefault="00226748">
      <w:pPr>
        <w:rPr>
          <w:rFonts w:ascii="Arial" w:hAnsi="Arial"/>
          <w:color w:val="FF0000"/>
        </w:rPr>
      </w:pPr>
      <w:r w:rsidRPr="0020359C">
        <w:rPr>
          <w:rFonts w:ascii="Arial" w:hAnsi="Arial"/>
          <w:color w:val="FF0000"/>
        </w:rPr>
        <w:t>Datenquelle</w:t>
      </w:r>
    </w:p>
    <w:p w14:paraId="2BED6AE7" w14:textId="77777777" w:rsidR="009D227D" w:rsidRPr="00843753" w:rsidRDefault="009D227D" w:rsidP="00843753">
      <w:pPr>
        <w:tabs>
          <w:tab w:val="left" w:pos="3060"/>
        </w:tabs>
        <w:rPr>
          <w:rFonts w:ascii="Arial" w:hAnsi="Arial"/>
          <w:color w:val="000000"/>
          <w:lang w:val="en-GB"/>
        </w:rPr>
      </w:pPr>
    </w:p>
    <w:p w14:paraId="4E2AF230" w14:textId="32A1CC8F" w:rsidR="009D227D" w:rsidRPr="00F321EB" w:rsidRDefault="00403ABF" w:rsidP="00F321EB">
      <w:pPr>
        <w:tabs>
          <w:tab w:val="left" w:pos="3060"/>
        </w:tabs>
        <w:rPr>
          <w:rFonts w:ascii="Arial" w:hAnsi="Arial"/>
          <w:color w:val="000000"/>
          <w:lang w:val="en-GB"/>
        </w:rPr>
      </w:pPr>
      <w:r w:rsidRPr="00843753">
        <w:rPr>
          <w:rFonts w:ascii="Arial" w:hAnsi="Arial"/>
          <w:color w:val="000000"/>
          <w:lang w:val="en-GB"/>
        </w:rPr>
        <w:t>IEA World Energy Balances database © OECD/IEA 20</w:t>
      </w:r>
      <w:r w:rsidR="00C16C8C" w:rsidRPr="00843753">
        <w:rPr>
          <w:rFonts w:ascii="Arial" w:hAnsi="Arial"/>
          <w:color w:val="000000"/>
          <w:lang w:val="en-GB"/>
        </w:rPr>
        <w:t>2</w:t>
      </w:r>
      <w:r w:rsidR="00843753" w:rsidRPr="00843753">
        <w:rPr>
          <w:rFonts w:ascii="Arial" w:hAnsi="Arial"/>
          <w:color w:val="000000"/>
          <w:lang w:val="en-GB"/>
        </w:rPr>
        <w:t>4</w:t>
      </w:r>
      <w:r w:rsidRPr="00843753">
        <w:rPr>
          <w:rFonts w:ascii="Arial" w:hAnsi="Arial"/>
          <w:color w:val="000000"/>
          <w:lang w:val="en-GB"/>
        </w:rPr>
        <w:t xml:space="preserve">, </w:t>
      </w:r>
      <w:r w:rsidR="008F183B" w:rsidRPr="00843753">
        <w:rPr>
          <w:rFonts w:ascii="Arial" w:hAnsi="Arial"/>
          <w:color w:val="000000"/>
          <w:lang w:val="en-GB"/>
        </w:rPr>
        <w:t xml:space="preserve">www.iea.org/statistics; International Energy Agency (IEA): </w:t>
      </w:r>
      <w:r w:rsidR="00226748" w:rsidRPr="00843753">
        <w:rPr>
          <w:rFonts w:ascii="Arial" w:hAnsi="Arial"/>
          <w:color w:val="000000"/>
          <w:lang w:val="en-GB"/>
        </w:rPr>
        <w:t xml:space="preserve">Key World Energy Statistics </w:t>
      </w:r>
      <w:r w:rsidR="008F183B" w:rsidRPr="00843753">
        <w:rPr>
          <w:rFonts w:ascii="Arial" w:hAnsi="Arial"/>
          <w:color w:val="000000"/>
          <w:lang w:val="en-GB"/>
        </w:rPr>
        <w:t xml:space="preserve">© OECD/IEA </w:t>
      </w:r>
      <w:r w:rsidR="00862085" w:rsidRPr="00843753">
        <w:rPr>
          <w:rFonts w:ascii="Arial" w:hAnsi="Arial"/>
          <w:color w:val="000000"/>
          <w:lang w:val="en-GB"/>
        </w:rPr>
        <w:t>2003/2004/</w:t>
      </w:r>
      <w:r w:rsidR="008F183B" w:rsidRPr="00843753">
        <w:rPr>
          <w:rFonts w:ascii="Arial" w:hAnsi="Arial"/>
          <w:color w:val="000000"/>
          <w:lang w:val="en-GB"/>
        </w:rPr>
        <w:t>2008</w:t>
      </w:r>
      <w:r w:rsidR="00862085" w:rsidRPr="00843753">
        <w:rPr>
          <w:rFonts w:ascii="Arial" w:hAnsi="Arial"/>
          <w:color w:val="000000"/>
          <w:lang w:val="en-GB"/>
        </w:rPr>
        <w:t xml:space="preserve">; </w:t>
      </w:r>
      <w:r w:rsidR="00F321EB" w:rsidRPr="00DB2B44">
        <w:rPr>
          <w:rFonts w:ascii="Arial" w:hAnsi="Arial"/>
          <w:color w:val="000000"/>
          <w:lang w:val="en-GB"/>
        </w:rPr>
        <w:t>Energy Institute</w:t>
      </w:r>
      <w:r w:rsidR="00F321EB">
        <w:rPr>
          <w:rFonts w:ascii="Arial" w:hAnsi="Arial"/>
          <w:color w:val="000000"/>
          <w:lang w:val="en-GB"/>
        </w:rPr>
        <w:t>:</w:t>
      </w:r>
      <w:r w:rsidR="00F321EB" w:rsidRPr="00DB2B44">
        <w:rPr>
          <w:rFonts w:ascii="Arial" w:hAnsi="Arial"/>
          <w:color w:val="000000"/>
          <w:lang w:val="en-GB"/>
        </w:rPr>
        <w:t xml:space="preserve"> Statistical Review of World Energy</w:t>
      </w:r>
      <w:r w:rsidR="00F321EB">
        <w:rPr>
          <w:rFonts w:ascii="Arial" w:hAnsi="Arial"/>
          <w:color w:val="000000"/>
          <w:lang w:val="en-GB"/>
        </w:rPr>
        <w:t xml:space="preserve"> 2024; </w:t>
      </w:r>
      <w:r w:rsidR="00226748" w:rsidRPr="00F321EB">
        <w:rPr>
          <w:rFonts w:ascii="Arial" w:hAnsi="Arial"/>
          <w:color w:val="000000"/>
          <w:lang w:val="en-GB"/>
        </w:rPr>
        <w:t xml:space="preserve">British Petroleum (BP): Statistical Review of World Energy, </w:t>
      </w:r>
      <w:proofErr w:type="spellStart"/>
      <w:r w:rsidR="00226748" w:rsidRPr="00F321EB">
        <w:rPr>
          <w:rFonts w:ascii="Arial" w:hAnsi="Arial"/>
          <w:color w:val="000000"/>
          <w:lang w:val="en-GB"/>
        </w:rPr>
        <w:t>verschiedene</w:t>
      </w:r>
      <w:proofErr w:type="spellEnd"/>
      <w:r w:rsidR="00226748" w:rsidRPr="00F321EB">
        <w:rPr>
          <w:rFonts w:ascii="Arial" w:hAnsi="Arial"/>
          <w:color w:val="000000"/>
          <w:lang w:val="en-GB"/>
        </w:rPr>
        <w:t xml:space="preserve"> </w:t>
      </w:r>
      <w:proofErr w:type="spellStart"/>
      <w:r w:rsidR="00226748" w:rsidRPr="00F321EB">
        <w:rPr>
          <w:rFonts w:ascii="Arial" w:hAnsi="Arial"/>
          <w:color w:val="000000"/>
          <w:lang w:val="en-GB"/>
        </w:rPr>
        <w:t>Jahrgänge</w:t>
      </w:r>
      <w:proofErr w:type="spellEnd"/>
    </w:p>
    <w:p w14:paraId="609A0635" w14:textId="77777777" w:rsidR="009D227D" w:rsidRPr="00F321EB" w:rsidRDefault="009D227D" w:rsidP="00F321EB">
      <w:pPr>
        <w:tabs>
          <w:tab w:val="left" w:pos="3060"/>
        </w:tabs>
        <w:rPr>
          <w:rFonts w:ascii="Arial" w:hAnsi="Arial"/>
          <w:color w:val="000000"/>
          <w:lang w:val="en-GB"/>
        </w:rPr>
      </w:pPr>
    </w:p>
    <w:p w14:paraId="0FED193E" w14:textId="77777777" w:rsidR="009D227D" w:rsidRPr="0020359C" w:rsidRDefault="00226748">
      <w:pPr>
        <w:rPr>
          <w:rFonts w:ascii="Arial" w:hAnsi="Arial"/>
          <w:color w:val="FF0000"/>
        </w:rPr>
      </w:pPr>
      <w:r w:rsidRPr="0020359C">
        <w:rPr>
          <w:rFonts w:ascii="Arial" w:hAnsi="Arial"/>
          <w:color w:val="FF0000"/>
        </w:rPr>
        <w:t>Begriffe, methodische Anmerkungen oder Lesehilfen</w:t>
      </w:r>
    </w:p>
    <w:p w14:paraId="15EE07EA" w14:textId="77777777" w:rsidR="009D227D" w:rsidRPr="00D63E3C" w:rsidRDefault="009D227D">
      <w:pPr>
        <w:rPr>
          <w:rFonts w:ascii="Arial" w:hAnsi="Arial"/>
        </w:rPr>
      </w:pPr>
    </w:p>
    <w:p w14:paraId="67B24BCF" w14:textId="77777777" w:rsidR="009D227D" w:rsidRDefault="00226748">
      <w:pPr>
        <w:rPr>
          <w:rFonts w:ascii="Arial" w:hAnsi="Arial"/>
        </w:rPr>
      </w:pPr>
      <w:r w:rsidRPr="00D63E3C">
        <w:rPr>
          <w:rFonts w:ascii="Arial" w:hAnsi="Arial"/>
          <w:b/>
        </w:rPr>
        <w:t xml:space="preserve">Primärenergie </w:t>
      </w:r>
      <w:r w:rsidRPr="00D63E3C">
        <w:rPr>
          <w:rFonts w:ascii="Arial" w:hAnsi="Arial"/>
        </w:rPr>
        <w:t xml:space="preserve">ist die von noch nicht weiterbearbeiteten Energieträgern stammende Energie. Primärenergieträger sind zum Beispiel Steinkohle, Braunkohle, Erdöl, Erdgas, Wasser, Wind, Kernbrennstoffe, Solarstrahlung und so weiter. Aus der </w:t>
      </w:r>
      <w:r w:rsidRPr="00D63E3C">
        <w:rPr>
          <w:rFonts w:ascii="Arial" w:hAnsi="Arial"/>
        </w:rPr>
        <w:lastRenderedPageBreak/>
        <w:t xml:space="preserve">Primärenergie wird durch Aufbereitung zum Beispiel in Kraftwerken oder Raffinerien die </w:t>
      </w:r>
      <w:r w:rsidRPr="00D63E3C">
        <w:rPr>
          <w:rFonts w:ascii="Arial" w:hAnsi="Arial"/>
          <w:b/>
        </w:rPr>
        <w:t>Endenergie</w:t>
      </w:r>
      <w:r w:rsidRPr="00D63E3C">
        <w:rPr>
          <w:rFonts w:ascii="Arial" w:hAnsi="Arial"/>
        </w:rPr>
        <w:t xml:space="preserve"> (Sekundärenergie). Die Form der Energie, in der sie tatsächlich vom Anwender verwendet wird, wird </w:t>
      </w:r>
      <w:r w:rsidRPr="00D63E3C">
        <w:rPr>
          <w:rFonts w:ascii="Arial" w:hAnsi="Arial"/>
          <w:b/>
        </w:rPr>
        <w:t>Nutzenergie</w:t>
      </w:r>
      <w:r w:rsidRPr="00D63E3C">
        <w:rPr>
          <w:rFonts w:ascii="Arial" w:hAnsi="Arial"/>
        </w:rPr>
        <w:t xml:space="preserve"> genannt. Ein Beispiel: Rohöl (Primärenergie) wird zu Heizöl (Endenergie/Sekundärenergie) wird zu Wärme (Nutzenergie).</w:t>
      </w:r>
    </w:p>
    <w:p w14:paraId="0327A33F" w14:textId="77777777" w:rsidR="00580B3D" w:rsidRDefault="00580B3D">
      <w:pPr>
        <w:rPr>
          <w:rFonts w:ascii="Arial" w:hAnsi="Arial"/>
        </w:rPr>
      </w:pPr>
    </w:p>
    <w:p w14:paraId="038D3C98" w14:textId="77777777" w:rsidR="009D227D" w:rsidRDefault="00226748">
      <w:pPr>
        <w:rPr>
          <w:rFonts w:ascii="Arial" w:hAnsi="Arial"/>
        </w:rPr>
      </w:pPr>
      <w:r w:rsidRPr="00D63E3C">
        <w:rPr>
          <w:rFonts w:ascii="Arial" w:hAnsi="Arial"/>
        </w:rPr>
        <w:t xml:space="preserve">Nach der IEA entspricht die </w:t>
      </w:r>
      <w:r w:rsidRPr="00D63E3C">
        <w:rPr>
          <w:rFonts w:ascii="Arial" w:hAnsi="Arial"/>
          <w:b/>
        </w:rPr>
        <w:t>Primärenergie-Versorgung</w:t>
      </w:r>
      <w:r w:rsidRPr="00D63E3C">
        <w:rPr>
          <w:rFonts w:ascii="Arial" w:hAnsi="Arial"/>
        </w:rPr>
        <w:t xml:space="preserve"> der Primärenergie-Produktion zuzüglich der Importe und abzüglich der Exporte; zudem wird die </w:t>
      </w:r>
      <w:r w:rsidRPr="00561DCA">
        <w:rPr>
          <w:rFonts w:ascii="Arial" w:hAnsi="Arial"/>
        </w:rPr>
        <w:t>Veränderung der Lagerbestände – bei Produzenten, Importeuren, großen Konsumenten etc. – eingerechnet.</w:t>
      </w:r>
    </w:p>
    <w:p w14:paraId="182A16FC" w14:textId="77777777" w:rsidR="00580B3D" w:rsidRDefault="00580B3D">
      <w:pPr>
        <w:rPr>
          <w:rFonts w:ascii="Arial" w:hAnsi="Arial"/>
        </w:rPr>
      </w:pPr>
    </w:p>
    <w:p w14:paraId="6394E7DE" w14:textId="7546145F" w:rsidR="000F605D" w:rsidRDefault="00226748" w:rsidP="00BD5272">
      <w:pPr>
        <w:rPr>
          <w:rFonts w:ascii="Arial" w:hAnsi="Arial"/>
        </w:rPr>
      </w:pPr>
      <w:r w:rsidRPr="00927641">
        <w:rPr>
          <w:rFonts w:ascii="Arial" w:hAnsi="Arial"/>
        </w:rPr>
        <w:t xml:space="preserve">Um die Energieträger vergleichbar zu machen, werden sie mithilfe einzelner Umrechnungsfaktoren auf das Öl bezogen (Öläquivalent). Nach Angaben </w:t>
      </w:r>
      <w:r w:rsidR="000F605D" w:rsidRPr="00927641">
        <w:rPr>
          <w:rFonts w:ascii="Arial" w:hAnsi="Arial"/>
        </w:rPr>
        <w:t xml:space="preserve">des Statistical Review </w:t>
      </w:r>
      <w:proofErr w:type="spellStart"/>
      <w:r w:rsidR="000F605D" w:rsidRPr="00927641">
        <w:rPr>
          <w:rFonts w:ascii="Arial" w:hAnsi="Arial"/>
        </w:rPr>
        <w:t>of</w:t>
      </w:r>
      <w:proofErr w:type="spellEnd"/>
      <w:r w:rsidR="000F605D" w:rsidRPr="00927641">
        <w:rPr>
          <w:rFonts w:ascii="Arial" w:hAnsi="Arial"/>
        </w:rPr>
        <w:t xml:space="preserve"> World </w:t>
      </w:r>
      <w:proofErr w:type="spellStart"/>
      <w:r w:rsidR="000F605D" w:rsidRPr="00927641">
        <w:rPr>
          <w:rFonts w:ascii="Arial" w:hAnsi="Arial"/>
        </w:rPr>
        <w:t>Energy</w:t>
      </w:r>
      <w:proofErr w:type="spellEnd"/>
      <w:r w:rsidR="000F605D" w:rsidRPr="00927641">
        <w:rPr>
          <w:rFonts w:ascii="Arial" w:hAnsi="Arial"/>
        </w:rPr>
        <w:t xml:space="preserve"> 2019 </w:t>
      </w:r>
      <w:r w:rsidRPr="00927641">
        <w:rPr>
          <w:rFonts w:ascii="Arial" w:hAnsi="Arial"/>
        </w:rPr>
        <w:t>des Energiekonzerns British Petroleum (BP)</w:t>
      </w:r>
      <w:r w:rsidR="000F605D" w:rsidRPr="00927641">
        <w:rPr>
          <w:rFonts w:ascii="Arial" w:hAnsi="Arial"/>
        </w:rPr>
        <w:t xml:space="preserve"> e</w:t>
      </w:r>
      <w:r w:rsidRPr="00927641">
        <w:rPr>
          <w:rFonts w:ascii="Arial" w:hAnsi="Arial"/>
        </w:rPr>
        <w:t>ntspricht eine Tonne Öläquivalent beispielsweise in etwa 1,5 Tonnen Steinkohle, 1.1</w:t>
      </w:r>
      <w:r w:rsidR="00493559" w:rsidRPr="00927641">
        <w:rPr>
          <w:rFonts w:ascii="Arial" w:hAnsi="Arial"/>
        </w:rPr>
        <w:t>63</w:t>
      </w:r>
      <w:r w:rsidRPr="00927641">
        <w:rPr>
          <w:rFonts w:ascii="Arial" w:hAnsi="Arial"/>
        </w:rPr>
        <w:t xml:space="preserve"> Kubikmeter Erdgas oder auch 12 Megawattstunden (Primärenergie)</w:t>
      </w:r>
      <w:r w:rsidR="00C202B1" w:rsidRPr="00927641">
        <w:rPr>
          <w:rFonts w:ascii="Arial" w:hAnsi="Arial"/>
        </w:rPr>
        <w:t>.</w:t>
      </w:r>
    </w:p>
    <w:p w14:paraId="478E20FA" w14:textId="77777777" w:rsidR="00580B3D" w:rsidRDefault="00580B3D" w:rsidP="00BD5272">
      <w:pPr>
        <w:rPr>
          <w:rFonts w:ascii="Arial" w:hAnsi="Arial"/>
        </w:rPr>
      </w:pPr>
    </w:p>
    <w:p w14:paraId="3944C3CA" w14:textId="77777777" w:rsidR="009D227D" w:rsidRDefault="00226748">
      <w:pPr>
        <w:rPr>
          <w:rFonts w:ascii="Arial" w:hAnsi="Arial"/>
        </w:rPr>
      </w:pPr>
      <w:r w:rsidRPr="00D63E3C">
        <w:rPr>
          <w:rFonts w:ascii="Arial" w:hAnsi="Arial"/>
        </w:rPr>
        <w:t xml:space="preserve">Die international angewandte Methode zur Bestimmung des Primärenergieäquivalents von Strom ist die </w:t>
      </w:r>
      <w:r w:rsidRPr="00D63E3C">
        <w:rPr>
          <w:rFonts w:ascii="Arial" w:hAnsi="Arial"/>
          <w:b/>
        </w:rPr>
        <w:t>Wirkungsgradmethode</w:t>
      </w:r>
      <w:r w:rsidRPr="00D63E3C">
        <w:rPr>
          <w:rFonts w:ascii="Arial" w:hAnsi="Arial"/>
        </w:rPr>
        <w:t>. Bei Strom aus zum Beispiel Wasserkraft, Windenergie und Photovoltaik wird von der Endenergie mit Hilfe eines Wirkungsgrades von 100 Prozent auf die Primärenergie geschlossen. Somit entspricht zum Beispiel 1 kWh Strom aus Wasserkraft einem Primärenergieäquivalent von 1 kWh. Bei Kernenergie wird für die Festlegung des Primärenergieäquivalents hingegen ein Wirkungsgrad von 33 Prozent angenommen – 1 kWh Strom aus Kernkraft entspricht demnach einem Primärenergieäquivalent von 3,0303 kWh.</w:t>
      </w:r>
    </w:p>
    <w:p w14:paraId="719B2885" w14:textId="77777777" w:rsidR="00580B3D" w:rsidRDefault="00580B3D">
      <w:pPr>
        <w:rPr>
          <w:rFonts w:ascii="Arial" w:hAnsi="Arial"/>
        </w:rPr>
      </w:pPr>
    </w:p>
    <w:p w14:paraId="14936551" w14:textId="0B120A6F" w:rsidR="009D227D" w:rsidRDefault="00226748">
      <w:pPr>
        <w:rPr>
          <w:rFonts w:ascii="Arial" w:hAnsi="Arial"/>
        </w:rPr>
      </w:pPr>
      <w:r w:rsidRPr="00D63E3C">
        <w:rPr>
          <w:rFonts w:ascii="Arial" w:hAnsi="Arial"/>
        </w:rPr>
        <w:t xml:space="preserve">Bei der </w:t>
      </w:r>
      <w:r w:rsidRPr="00D63E3C">
        <w:rPr>
          <w:rFonts w:ascii="Arial" w:hAnsi="Arial"/>
          <w:b/>
        </w:rPr>
        <w:t>Substitutionsmethode</w:t>
      </w:r>
      <w:r w:rsidRPr="00D63E3C">
        <w:rPr>
          <w:rFonts w:ascii="Arial" w:hAnsi="Arial"/>
        </w:rPr>
        <w:t xml:space="preserve"> wird berechnet, welche Menge an fossilem Brennstoff durch die Nutzung von erneuerbaren Energien und Kernenergie eingespart wurde. Bei diesem Verfahren wird also davon ausgegangen, dass elektrische Energie aus nicht-fossilen Quellen eine entsprechende Erzeugung auf fossiler Basis in konventionellen </w:t>
      </w:r>
      <w:r w:rsidRPr="00C747B9">
        <w:rPr>
          <w:rFonts w:ascii="Arial" w:hAnsi="Arial"/>
        </w:rPr>
        <w:t xml:space="preserve">Kraftwerken ersetzt. </w:t>
      </w:r>
      <w:r w:rsidRPr="00CC72CA">
        <w:rPr>
          <w:rFonts w:ascii="Arial" w:hAnsi="Arial"/>
        </w:rPr>
        <w:t xml:space="preserve">Dabei wird für die Umwandlung von fossilen Brennstoffen in Strom </w:t>
      </w:r>
      <w:r w:rsidR="009D2662" w:rsidRPr="00CC72CA">
        <w:rPr>
          <w:rFonts w:ascii="Arial" w:hAnsi="Arial"/>
        </w:rPr>
        <w:t xml:space="preserve">zum Beispiel vom </w:t>
      </w:r>
      <w:proofErr w:type="spellStart"/>
      <w:r w:rsidR="00517F13" w:rsidRPr="00CC72CA">
        <w:rPr>
          <w:rFonts w:ascii="Arial" w:hAnsi="Arial"/>
        </w:rPr>
        <w:t>Energy</w:t>
      </w:r>
      <w:proofErr w:type="spellEnd"/>
      <w:r w:rsidR="00517F13" w:rsidRPr="00CC72CA">
        <w:rPr>
          <w:rFonts w:ascii="Arial" w:hAnsi="Arial"/>
        </w:rPr>
        <w:t xml:space="preserve"> Institute (siehe unten</w:t>
      </w:r>
      <w:r w:rsidR="009D2662" w:rsidRPr="00CC72CA">
        <w:rPr>
          <w:rFonts w:ascii="Arial" w:hAnsi="Arial"/>
        </w:rPr>
        <w:t>) im Jahr 20</w:t>
      </w:r>
      <w:r w:rsidR="00CF7910" w:rsidRPr="00CC72CA">
        <w:rPr>
          <w:rFonts w:ascii="Arial" w:hAnsi="Arial"/>
        </w:rPr>
        <w:t>2</w:t>
      </w:r>
      <w:r w:rsidR="00517F13" w:rsidRPr="00CC72CA">
        <w:rPr>
          <w:rFonts w:ascii="Arial" w:hAnsi="Arial"/>
        </w:rPr>
        <w:t>3</w:t>
      </w:r>
      <w:r w:rsidR="009D2662" w:rsidRPr="00CC72CA">
        <w:rPr>
          <w:rFonts w:ascii="Arial" w:hAnsi="Arial"/>
        </w:rPr>
        <w:t xml:space="preserve"> </w:t>
      </w:r>
      <w:r w:rsidRPr="00CC72CA">
        <w:rPr>
          <w:rFonts w:ascii="Arial" w:hAnsi="Arial"/>
        </w:rPr>
        <w:t xml:space="preserve">eine Umwandlungseffizienz von </w:t>
      </w:r>
      <w:r w:rsidR="009D2662" w:rsidRPr="00CC72CA">
        <w:rPr>
          <w:rFonts w:ascii="Arial" w:hAnsi="Arial"/>
        </w:rPr>
        <w:t>4</w:t>
      </w:r>
      <w:r w:rsidR="00517F13" w:rsidRPr="00CC72CA">
        <w:rPr>
          <w:rFonts w:ascii="Arial" w:hAnsi="Arial"/>
        </w:rPr>
        <w:t>1</w:t>
      </w:r>
      <w:r w:rsidR="009D2662" w:rsidRPr="00CC72CA">
        <w:rPr>
          <w:rFonts w:ascii="Arial" w:hAnsi="Arial"/>
        </w:rPr>
        <w:t>,</w:t>
      </w:r>
      <w:r w:rsidR="00517F13" w:rsidRPr="00CC72CA">
        <w:rPr>
          <w:rFonts w:ascii="Arial" w:hAnsi="Arial"/>
        </w:rPr>
        <w:t>0</w:t>
      </w:r>
      <w:r w:rsidRPr="00CC72CA">
        <w:rPr>
          <w:rFonts w:ascii="Arial" w:hAnsi="Arial"/>
        </w:rPr>
        <w:t xml:space="preserve"> Prozent angenommen. Bei der Substitutionsmethode entspricht somit 1 kWh Strom einem Primärenergieäquivalent von 2,</w:t>
      </w:r>
      <w:r w:rsidR="009D2662" w:rsidRPr="00CC72CA">
        <w:rPr>
          <w:rFonts w:ascii="Arial" w:hAnsi="Arial"/>
        </w:rPr>
        <w:t>4</w:t>
      </w:r>
      <w:r w:rsidR="00517F13" w:rsidRPr="00CC72CA">
        <w:rPr>
          <w:rFonts w:ascii="Arial" w:hAnsi="Arial"/>
        </w:rPr>
        <w:t>39</w:t>
      </w:r>
      <w:r w:rsidRPr="00CC72CA">
        <w:rPr>
          <w:rFonts w:ascii="Arial" w:hAnsi="Arial"/>
        </w:rPr>
        <w:t xml:space="preserve"> kWh – unabhängig davon, ob der Strom beispielsweise in einem Wasser- oder Atomkraftwerk produziert wurde.</w:t>
      </w:r>
    </w:p>
    <w:p w14:paraId="6E4A5AB7" w14:textId="77777777" w:rsidR="00580B3D" w:rsidRDefault="00580B3D">
      <w:pPr>
        <w:rPr>
          <w:rFonts w:ascii="Arial" w:hAnsi="Arial"/>
        </w:rPr>
      </w:pPr>
    </w:p>
    <w:p w14:paraId="7B048F64" w14:textId="1F213865" w:rsidR="00983A6F" w:rsidRDefault="00226748" w:rsidP="00983A6F">
      <w:pPr>
        <w:rPr>
          <w:rFonts w:ascii="Arial" w:hAnsi="Arial"/>
        </w:rPr>
      </w:pPr>
      <w:r w:rsidRPr="00491248">
        <w:rPr>
          <w:rFonts w:ascii="Arial" w:hAnsi="Arial"/>
          <w:b/>
        </w:rPr>
        <w:t>Lesebeispiel</w:t>
      </w:r>
      <w:r w:rsidRPr="00491248">
        <w:rPr>
          <w:rFonts w:ascii="Arial" w:hAnsi="Arial"/>
        </w:rPr>
        <w:t xml:space="preserve">: Nach Angaben des </w:t>
      </w:r>
      <w:proofErr w:type="spellStart"/>
      <w:r w:rsidR="00491248" w:rsidRPr="00491248">
        <w:rPr>
          <w:rFonts w:ascii="Arial" w:hAnsi="Arial"/>
        </w:rPr>
        <w:t>Energy</w:t>
      </w:r>
      <w:proofErr w:type="spellEnd"/>
      <w:r w:rsidR="00491248" w:rsidRPr="00491248">
        <w:rPr>
          <w:rFonts w:ascii="Arial" w:hAnsi="Arial"/>
        </w:rPr>
        <w:t xml:space="preserve"> Institute</w:t>
      </w:r>
      <w:r w:rsidRPr="00491248">
        <w:rPr>
          <w:rFonts w:ascii="Arial" w:hAnsi="Arial"/>
        </w:rPr>
        <w:t xml:space="preserve"> – d</w:t>
      </w:r>
      <w:r w:rsidR="00491248" w:rsidRPr="00491248">
        <w:rPr>
          <w:rFonts w:ascii="Arial" w:hAnsi="Arial"/>
        </w:rPr>
        <w:t xml:space="preserve">as </w:t>
      </w:r>
      <w:r w:rsidRPr="00491248">
        <w:rPr>
          <w:rFonts w:ascii="Arial" w:hAnsi="Arial"/>
        </w:rPr>
        <w:t xml:space="preserve">die </w:t>
      </w:r>
      <w:r w:rsidRPr="00491248">
        <w:rPr>
          <w:rFonts w:ascii="Arial" w:hAnsi="Arial"/>
          <w:b/>
        </w:rPr>
        <w:t>Substitutionsmethode</w:t>
      </w:r>
      <w:r w:rsidRPr="00491248">
        <w:rPr>
          <w:rFonts w:ascii="Arial" w:hAnsi="Arial"/>
        </w:rPr>
        <w:t xml:space="preserve"> anwendet – lag im Jahr 20</w:t>
      </w:r>
      <w:r w:rsidR="00154D27" w:rsidRPr="00491248">
        <w:rPr>
          <w:rFonts w:ascii="Arial" w:hAnsi="Arial"/>
        </w:rPr>
        <w:t>2</w:t>
      </w:r>
      <w:r w:rsidR="00491248" w:rsidRPr="00491248">
        <w:rPr>
          <w:rFonts w:ascii="Arial" w:hAnsi="Arial"/>
        </w:rPr>
        <w:t>2</w:t>
      </w:r>
      <w:r w:rsidRPr="00491248">
        <w:rPr>
          <w:rFonts w:ascii="Arial" w:hAnsi="Arial"/>
        </w:rPr>
        <w:t xml:space="preserve"> </w:t>
      </w:r>
      <w:r w:rsidR="00DF5CA0" w:rsidRPr="00491248">
        <w:rPr>
          <w:rFonts w:ascii="Arial" w:hAnsi="Arial"/>
        </w:rPr>
        <w:t xml:space="preserve">weltweit </w:t>
      </w:r>
      <w:r w:rsidRPr="00491248">
        <w:rPr>
          <w:rFonts w:ascii="Arial" w:hAnsi="Arial"/>
        </w:rPr>
        <w:t>der Anteil der Energie aus Wasserkraft am Primärenergie-Verbrauch über dem Anteil der Kernenergie (</w:t>
      </w:r>
      <w:r w:rsidR="00491248" w:rsidRPr="00491248">
        <w:rPr>
          <w:rFonts w:ascii="Arial" w:hAnsi="Arial"/>
        </w:rPr>
        <w:t>6,7</w:t>
      </w:r>
      <w:r w:rsidRPr="00491248">
        <w:rPr>
          <w:rFonts w:ascii="Arial" w:hAnsi="Arial"/>
        </w:rPr>
        <w:t xml:space="preserve"> gegenüber 4,</w:t>
      </w:r>
      <w:r w:rsidR="00491248" w:rsidRPr="00491248">
        <w:rPr>
          <w:rFonts w:ascii="Arial" w:hAnsi="Arial"/>
        </w:rPr>
        <w:t>0</w:t>
      </w:r>
      <w:r w:rsidRPr="00491248">
        <w:rPr>
          <w:rFonts w:ascii="Arial" w:hAnsi="Arial"/>
        </w:rPr>
        <w:t xml:space="preserve"> Prozent). </w:t>
      </w:r>
      <w:r w:rsidR="00983A6F" w:rsidRPr="00491248">
        <w:rPr>
          <w:rFonts w:ascii="Arial" w:hAnsi="Arial"/>
        </w:rPr>
        <w:t xml:space="preserve">Bei der IEA, die die </w:t>
      </w:r>
      <w:r w:rsidR="00983A6F" w:rsidRPr="00491248">
        <w:rPr>
          <w:rFonts w:ascii="Arial" w:hAnsi="Arial"/>
          <w:b/>
        </w:rPr>
        <w:t>Wirkungsgradmethode</w:t>
      </w:r>
      <w:r w:rsidR="00983A6F" w:rsidRPr="00491248">
        <w:rPr>
          <w:rFonts w:ascii="Arial" w:hAnsi="Arial"/>
        </w:rPr>
        <w:t xml:space="preserve"> verwendet, lag der Anteil der Wasserkraft an der Primärenergie-Versorgung hingegen deutlich unter dem Anteil der Kernenergie (2,</w:t>
      </w:r>
      <w:r w:rsidR="00491248" w:rsidRPr="00491248">
        <w:rPr>
          <w:rFonts w:ascii="Arial" w:hAnsi="Arial"/>
        </w:rPr>
        <w:t>5</w:t>
      </w:r>
      <w:r w:rsidR="00983A6F" w:rsidRPr="00491248">
        <w:rPr>
          <w:rFonts w:ascii="Arial" w:hAnsi="Arial"/>
        </w:rPr>
        <w:t xml:space="preserve"> gegenüber </w:t>
      </w:r>
      <w:r w:rsidR="00491248" w:rsidRPr="00491248">
        <w:rPr>
          <w:rFonts w:ascii="Arial" w:hAnsi="Arial"/>
        </w:rPr>
        <w:t>4</w:t>
      </w:r>
      <w:r w:rsidR="006A6192" w:rsidRPr="00491248">
        <w:rPr>
          <w:rFonts w:ascii="Arial" w:hAnsi="Arial"/>
        </w:rPr>
        <w:t>,</w:t>
      </w:r>
      <w:r w:rsidR="00491248" w:rsidRPr="00491248">
        <w:rPr>
          <w:rFonts w:ascii="Arial" w:hAnsi="Arial"/>
        </w:rPr>
        <w:t>7</w:t>
      </w:r>
      <w:r w:rsidR="006A6192" w:rsidRPr="00491248">
        <w:rPr>
          <w:rFonts w:ascii="Arial" w:hAnsi="Arial"/>
        </w:rPr>
        <w:t xml:space="preserve"> </w:t>
      </w:r>
      <w:r w:rsidR="00983A6F" w:rsidRPr="00491248">
        <w:rPr>
          <w:rFonts w:ascii="Arial" w:hAnsi="Arial"/>
        </w:rPr>
        <w:t>Prozent).</w:t>
      </w:r>
    </w:p>
    <w:p w14:paraId="1C380B52" w14:textId="77777777" w:rsidR="00580B3D" w:rsidRDefault="00580B3D" w:rsidP="00983A6F">
      <w:pPr>
        <w:rPr>
          <w:rFonts w:ascii="Arial" w:hAnsi="Arial"/>
        </w:rPr>
      </w:pPr>
    </w:p>
    <w:p w14:paraId="1316603F" w14:textId="77777777" w:rsidR="009D227D" w:rsidRPr="00D63E3C" w:rsidRDefault="00226748">
      <w:pPr>
        <w:rPr>
          <w:rFonts w:ascii="Arial" w:hAnsi="Arial"/>
        </w:rPr>
      </w:pPr>
      <w:r w:rsidRPr="00D63E3C">
        <w:rPr>
          <w:rFonts w:ascii="Arial" w:hAnsi="Arial"/>
        </w:rPr>
        <w:t xml:space="preserve">Unter </w:t>
      </w:r>
      <w:r w:rsidRPr="00D63E3C">
        <w:rPr>
          <w:rFonts w:ascii="Arial" w:hAnsi="Arial"/>
          <w:b/>
        </w:rPr>
        <w:t>Meeresenergie</w:t>
      </w:r>
      <w:r w:rsidRPr="00D63E3C">
        <w:rPr>
          <w:rFonts w:ascii="Arial" w:hAnsi="Arial"/>
        </w:rPr>
        <w:t xml:space="preserve"> wird beispielsweise die Stromerzeugung in Gezeiten-, Strömungs- und Wellenkraftwerken verstanden.</w:t>
      </w:r>
    </w:p>
    <w:p w14:paraId="08C06571" w14:textId="77777777" w:rsidR="00573995" w:rsidRPr="00D63E3C" w:rsidRDefault="00573995">
      <w:pPr>
        <w:rPr>
          <w:rFonts w:ascii="Arial" w:hAnsi="Arial"/>
        </w:rPr>
      </w:pPr>
    </w:p>
    <w:p w14:paraId="5E98A251" w14:textId="77777777" w:rsidR="009D227D" w:rsidRPr="00D63E3C" w:rsidRDefault="00226748">
      <w:pPr>
        <w:rPr>
          <w:rFonts w:ascii="Arial" w:hAnsi="Arial" w:cs="Arial"/>
        </w:rPr>
      </w:pPr>
      <w:r w:rsidRPr="00D63E3C">
        <w:rPr>
          <w:rFonts w:ascii="Arial" w:hAnsi="Arial"/>
        </w:rPr>
        <w:t>Weitere Informationen</w:t>
      </w:r>
      <w:r w:rsidRPr="00D63E3C">
        <w:rPr>
          <w:rFonts w:ascii="Arial" w:hAnsi="Arial" w:cs="Arial"/>
        </w:rPr>
        <w:t xml:space="preserve"> zur Nutzung </w:t>
      </w:r>
      <w:r w:rsidRPr="00D63E3C">
        <w:rPr>
          <w:rFonts w:ascii="Arial" w:hAnsi="Arial" w:cs="Arial"/>
          <w:b/>
        </w:rPr>
        <w:t>erneuerbarer Energien</w:t>
      </w:r>
      <w:r w:rsidRPr="00D63E3C">
        <w:rPr>
          <w:rFonts w:ascii="Arial" w:hAnsi="Arial" w:cs="Arial"/>
        </w:rPr>
        <w:t xml:space="preserve"> erhalten Sie hier</w:t>
      </w:r>
      <w:r w:rsidR="00F5618B" w:rsidRPr="00D63E3C">
        <w:rPr>
          <w:rFonts w:ascii="Arial" w:hAnsi="Arial" w:cs="Arial"/>
        </w:rPr>
        <w:t>:</w:t>
      </w:r>
    </w:p>
    <w:p w14:paraId="2097DAB7" w14:textId="622C6517" w:rsidR="00D32217" w:rsidRDefault="009F4524">
      <w:pPr>
        <w:rPr>
          <w:rFonts w:ascii="Arial" w:hAnsi="Arial" w:cs="Arial"/>
          <w:lang w:val="en-US"/>
        </w:rPr>
      </w:pPr>
      <w:hyperlink r:id="rId8" w:history="1">
        <w:r w:rsidR="00FA7BDD" w:rsidRPr="000D5CA3">
          <w:rPr>
            <w:rStyle w:val="Hyperlink"/>
            <w:rFonts w:ascii="Arial" w:hAnsi="Arial" w:cs="Arial"/>
            <w:lang w:val="en-US"/>
          </w:rPr>
          <w:t>http://www.bpb.de/52754</w:t>
        </w:r>
      </w:hyperlink>
    </w:p>
    <w:p w14:paraId="042C1424" w14:textId="77777777" w:rsidR="00FA7BDD" w:rsidRPr="00E606E0" w:rsidRDefault="00FA7BDD">
      <w:pPr>
        <w:rPr>
          <w:rFonts w:ascii="Arial" w:hAnsi="Arial" w:cs="Arial"/>
          <w:lang w:val="en-US"/>
        </w:rPr>
      </w:pPr>
    </w:p>
    <w:p w14:paraId="2FDDC389" w14:textId="5AB20A54" w:rsidR="00F20765" w:rsidRDefault="00F20765" w:rsidP="00FA7BDD">
      <w:pPr>
        <w:rPr>
          <w:rFonts w:ascii="Arial" w:hAnsi="Arial" w:cs="Arial"/>
          <w:i/>
        </w:rPr>
      </w:pPr>
      <w:r>
        <w:rPr>
          <w:rFonts w:ascii="Arial" w:hAnsi="Arial" w:cs="Arial"/>
        </w:rPr>
        <w:lastRenderedPageBreak/>
        <w:t xml:space="preserve">Der </w:t>
      </w:r>
      <w:r w:rsidRPr="00640D3E">
        <w:rPr>
          <w:rFonts w:ascii="Arial" w:hAnsi="Arial" w:cs="Arial"/>
          <w:b/>
        </w:rPr>
        <w:t>Statistical Review</w:t>
      </w:r>
      <w:r>
        <w:rPr>
          <w:rFonts w:ascii="Arial" w:hAnsi="Arial" w:cs="Arial"/>
        </w:rPr>
        <w:t xml:space="preserve"> wurde bis 2022 vom </w:t>
      </w:r>
      <w:r w:rsidRPr="00640D3E">
        <w:rPr>
          <w:rFonts w:ascii="Arial" w:hAnsi="Arial" w:cs="Arial"/>
        </w:rPr>
        <w:t xml:space="preserve">Energiekonzern British Petroleum (BP) herausgegeben. Seit 2023 wird der Review </w:t>
      </w:r>
      <w:r>
        <w:rPr>
          <w:rFonts w:ascii="Arial" w:hAnsi="Arial" w:cs="Arial"/>
          <w:color w:val="000000"/>
          <w:shd w:val="clear" w:color="auto" w:fill="FFFFFF"/>
        </w:rPr>
        <w:t xml:space="preserve">vom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Energy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Institute in Zusammenarbeit mit den </w:t>
      </w:r>
      <w:r w:rsidRPr="00640D3E">
        <w:rPr>
          <w:rFonts w:ascii="Arial" w:hAnsi="Arial" w:cs="Arial"/>
        </w:rPr>
        <w:t xml:space="preserve">Beratungsunternehmen KPMG und </w:t>
      </w:r>
      <w:proofErr w:type="spellStart"/>
      <w:r w:rsidRPr="00640D3E">
        <w:rPr>
          <w:rFonts w:ascii="Arial" w:hAnsi="Arial" w:cs="Arial"/>
        </w:rPr>
        <w:t>Kearney</w:t>
      </w:r>
      <w:proofErr w:type="spellEnd"/>
      <w:r w:rsidRPr="00640D3E">
        <w:rPr>
          <w:rFonts w:ascii="Arial" w:hAnsi="Arial" w:cs="Arial"/>
        </w:rPr>
        <w:t xml:space="preserve"> herausgegeben. </w:t>
      </w:r>
      <w:r>
        <w:rPr>
          <w:rFonts w:ascii="Arial" w:hAnsi="Arial" w:cs="Arial"/>
        </w:rPr>
        <w:t>D</w:t>
      </w:r>
      <w:r w:rsidRPr="00640D3E">
        <w:rPr>
          <w:rFonts w:ascii="Arial" w:hAnsi="Arial" w:cs="Arial"/>
        </w:rPr>
        <w:t xml:space="preserve">ie Veröffentlichung </w:t>
      </w:r>
      <w:r>
        <w:rPr>
          <w:rFonts w:ascii="Arial" w:hAnsi="Arial" w:cs="Arial"/>
        </w:rPr>
        <w:t xml:space="preserve">wird </w:t>
      </w:r>
      <w:r w:rsidRPr="00640D3E">
        <w:rPr>
          <w:rFonts w:ascii="Arial" w:hAnsi="Arial" w:cs="Arial"/>
        </w:rPr>
        <w:t>weiterhin</w:t>
      </w:r>
      <w:r>
        <w:rPr>
          <w:rFonts w:ascii="Arial" w:hAnsi="Arial" w:cs="Arial"/>
        </w:rPr>
        <w:t xml:space="preserve"> von BP </w:t>
      </w:r>
      <w:r w:rsidRPr="00640D3E">
        <w:rPr>
          <w:rFonts w:ascii="Arial" w:hAnsi="Arial" w:cs="Arial"/>
        </w:rPr>
        <w:t>unterstützt</w:t>
      </w:r>
      <w:r w:rsidR="00FA7BDD">
        <w:rPr>
          <w:rFonts w:ascii="Arial" w:hAnsi="Arial" w:cs="Arial"/>
        </w:rPr>
        <w:t xml:space="preserve">: </w:t>
      </w:r>
      <w:hyperlink r:id="rId9" w:history="1">
        <w:r w:rsidR="00FA7BDD" w:rsidRPr="000D5CA3">
          <w:rPr>
            <w:rStyle w:val="Hyperlink"/>
            <w:rFonts w:ascii="Arial" w:hAnsi="Arial" w:cs="Arial"/>
          </w:rPr>
          <w:t>https://www.energyinst.org/statistical-review/about</w:t>
        </w:r>
      </w:hyperlink>
    </w:p>
    <w:p w14:paraId="3AC90281" w14:textId="77777777" w:rsidR="00FA7BDD" w:rsidRDefault="00FA7BDD" w:rsidP="00FA7BDD">
      <w:pPr>
        <w:rPr>
          <w:rFonts w:ascii="Arial" w:hAnsi="Arial" w:cs="Arial"/>
        </w:rPr>
      </w:pPr>
    </w:p>
    <w:p w14:paraId="47884535" w14:textId="77777777" w:rsidR="00F20765" w:rsidRPr="00AB2707" w:rsidRDefault="00F20765" w:rsidP="00F20765">
      <w:pPr>
        <w:rPr>
          <w:rFonts w:ascii="Arial" w:hAnsi="Arial"/>
          <w:sz w:val="20"/>
          <w:szCs w:val="20"/>
        </w:rPr>
      </w:pPr>
      <w:r w:rsidRPr="00AB2707">
        <w:rPr>
          <w:rFonts w:ascii="Arial" w:hAnsi="Arial"/>
          <w:sz w:val="20"/>
          <w:szCs w:val="20"/>
        </w:rPr>
        <w:t xml:space="preserve">Dieser Text ist unter der Creative </w:t>
      </w:r>
      <w:proofErr w:type="spellStart"/>
      <w:r w:rsidRPr="00AB2707">
        <w:rPr>
          <w:rFonts w:ascii="Arial" w:hAnsi="Arial"/>
          <w:sz w:val="20"/>
          <w:szCs w:val="20"/>
        </w:rPr>
        <w:t>Commons</w:t>
      </w:r>
      <w:proofErr w:type="spellEnd"/>
      <w:r w:rsidRPr="00AB2707">
        <w:rPr>
          <w:rFonts w:ascii="Arial" w:hAnsi="Arial"/>
          <w:sz w:val="20"/>
          <w:szCs w:val="20"/>
        </w:rPr>
        <w:t xml:space="preserve"> Lizenz CC BY-NC-ND 4.0 veröffentlicht.</w:t>
      </w:r>
    </w:p>
    <w:p w14:paraId="4E13F954" w14:textId="787BCC11" w:rsidR="001F1C40" w:rsidRPr="00F20765" w:rsidRDefault="00F20765" w:rsidP="00F20765">
      <w:pPr>
        <w:rPr>
          <w:rFonts w:ascii="Arial" w:hAnsi="Arial" w:cs="Arial"/>
        </w:rPr>
      </w:pPr>
      <w:r w:rsidRPr="00AB2707">
        <w:rPr>
          <w:rFonts w:ascii="Arial" w:hAnsi="Arial"/>
          <w:sz w:val="20"/>
          <w:szCs w:val="20"/>
        </w:rPr>
        <w:t>Bundeszentrale für poli</w:t>
      </w:r>
      <w:r>
        <w:rPr>
          <w:rFonts w:ascii="Arial" w:hAnsi="Arial"/>
          <w:sz w:val="20"/>
          <w:szCs w:val="20"/>
        </w:rPr>
        <w:t>tische Bildung 2024 | www.bpb.de</w:t>
      </w:r>
    </w:p>
    <w:sectPr w:rsidR="001F1C40" w:rsidRPr="00F207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460582" w14:textId="77777777" w:rsidR="009F4524" w:rsidRDefault="009F4524">
      <w:r>
        <w:separator/>
      </w:r>
    </w:p>
  </w:endnote>
  <w:endnote w:type="continuationSeparator" w:id="0">
    <w:p w14:paraId="4A135DFF" w14:textId="77777777" w:rsidR="009F4524" w:rsidRDefault="009F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Segoe UI"/>
    <w:charset w:val="00"/>
    <w:family w:val="swiss"/>
    <w:pitch w:val="variable"/>
    <w:sig w:usb0="00000001" w:usb1="00000000" w:usb2="00000000" w:usb3="00000000" w:csb0="0000009F" w:csb1="00000000"/>
  </w:font>
  <w:font w:name="PNDJK O+ Demos EF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29B96" w14:textId="77777777" w:rsidR="00F30BFF" w:rsidRDefault="00F30BF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A45F5" w14:textId="77777777" w:rsidR="00F30BFF" w:rsidRDefault="00F30BF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86F4A" w14:textId="77777777" w:rsidR="00F30BFF" w:rsidRDefault="00F30BF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4237B" w14:textId="77777777" w:rsidR="009F4524" w:rsidRDefault="009F4524">
      <w:r>
        <w:rPr>
          <w:color w:val="000000"/>
        </w:rPr>
        <w:separator/>
      </w:r>
    </w:p>
  </w:footnote>
  <w:footnote w:type="continuationSeparator" w:id="0">
    <w:p w14:paraId="62D78A54" w14:textId="77777777" w:rsidR="009F4524" w:rsidRDefault="009F4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B0351" w14:textId="77777777" w:rsidR="00F30BFF" w:rsidRDefault="00F30BF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E329A" w14:textId="77777777" w:rsidR="00F30BFF" w:rsidRDefault="00F30BF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8CF48" w14:textId="77777777" w:rsidR="00F30BFF" w:rsidRDefault="00F30BF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6320D"/>
    <w:multiLevelType w:val="hybridMultilevel"/>
    <w:tmpl w:val="B54CAB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7D"/>
    <w:rsid w:val="000219C7"/>
    <w:rsid w:val="00027AA2"/>
    <w:rsid w:val="00031FBC"/>
    <w:rsid w:val="000320C9"/>
    <w:rsid w:val="00033B43"/>
    <w:rsid w:val="00050AD9"/>
    <w:rsid w:val="00062FE8"/>
    <w:rsid w:val="00063DA0"/>
    <w:rsid w:val="0006624B"/>
    <w:rsid w:val="00076FD4"/>
    <w:rsid w:val="00084512"/>
    <w:rsid w:val="00090539"/>
    <w:rsid w:val="000A1F22"/>
    <w:rsid w:val="000A3375"/>
    <w:rsid w:val="000B395C"/>
    <w:rsid w:val="000B6835"/>
    <w:rsid w:val="000C1981"/>
    <w:rsid w:val="000C3C00"/>
    <w:rsid w:val="000D5FDD"/>
    <w:rsid w:val="000E2570"/>
    <w:rsid w:val="000F1906"/>
    <w:rsid w:val="000F1F20"/>
    <w:rsid w:val="000F21A6"/>
    <w:rsid w:val="000F605D"/>
    <w:rsid w:val="00101420"/>
    <w:rsid w:val="001253B7"/>
    <w:rsid w:val="001270A7"/>
    <w:rsid w:val="00130991"/>
    <w:rsid w:val="0014258B"/>
    <w:rsid w:val="00154D27"/>
    <w:rsid w:val="00163F27"/>
    <w:rsid w:val="00165F73"/>
    <w:rsid w:val="00170DA7"/>
    <w:rsid w:val="00182131"/>
    <w:rsid w:val="001A6B1E"/>
    <w:rsid w:val="001B22BA"/>
    <w:rsid w:val="001B2A5F"/>
    <w:rsid w:val="001C2777"/>
    <w:rsid w:val="001D7045"/>
    <w:rsid w:val="001F18EE"/>
    <w:rsid w:val="001F1C40"/>
    <w:rsid w:val="001F1F35"/>
    <w:rsid w:val="0020359C"/>
    <w:rsid w:val="00212A8A"/>
    <w:rsid w:val="002150A8"/>
    <w:rsid w:val="0022054B"/>
    <w:rsid w:val="00226748"/>
    <w:rsid w:val="00234D0F"/>
    <w:rsid w:val="0023617C"/>
    <w:rsid w:val="0024486D"/>
    <w:rsid w:val="002539DC"/>
    <w:rsid w:val="00266DB6"/>
    <w:rsid w:val="00270CE7"/>
    <w:rsid w:val="00280057"/>
    <w:rsid w:val="00280394"/>
    <w:rsid w:val="002A2FC4"/>
    <w:rsid w:val="002D01EA"/>
    <w:rsid w:val="002D187F"/>
    <w:rsid w:val="002E7E80"/>
    <w:rsid w:val="00303047"/>
    <w:rsid w:val="003040D5"/>
    <w:rsid w:val="003073BC"/>
    <w:rsid w:val="00324905"/>
    <w:rsid w:val="0033368B"/>
    <w:rsid w:val="00340295"/>
    <w:rsid w:val="0034195C"/>
    <w:rsid w:val="0036170C"/>
    <w:rsid w:val="003626D8"/>
    <w:rsid w:val="00362A47"/>
    <w:rsid w:val="00367050"/>
    <w:rsid w:val="003714C9"/>
    <w:rsid w:val="0037675F"/>
    <w:rsid w:val="00381289"/>
    <w:rsid w:val="0038651E"/>
    <w:rsid w:val="00391FDF"/>
    <w:rsid w:val="0039452E"/>
    <w:rsid w:val="0039462F"/>
    <w:rsid w:val="003B553C"/>
    <w:rsid w:val="003B5672"/>
    <w:rsid w:val="003C7B0C"/>
    <w:rsid w:val="003D174F"/>
    <w:rsid w:val="003E1FD5"/>
    <w:rsid w:val="004016E9"/>
    <w:rsid w:val="00403ABF"/>
    <w:rsid w:val="00413944"/>
    <w:rsid w:val="0042015A"/>
    <w:rsid w:val="00423B1A"/>
    <w:rsid w:val="00437537"/>
    <w:rsid w:val="004551EA"/>
    <w:rsid w:val="00457325"/>
    <w:rsid w:val="004651E2"/>
    <w:rsid w:val="00467021"/>
    <w:rsid w:val="00471B8B"/>
    <w:rsid w:val="004730BD"/>
    <w:rsid w:val="0047695F"/>
    <w:rsid w:val="00485079"/>
    <w:rsid w:val="00490B20"/>
    <w:rsid w:val="00491248"/>
    <w:rsid w:val="00493559"/>
    <w:rsid w:val="004A104A"/>
    <w:rsid w:val="004A42BD"/>
    <w:rsid w:val="004C31F1"/>
    <w:rsid w:val="004C56E5"/>
    <w:rsid w:val="004D62F7"/>
    <w:rsid w:val="004D6C3A"/>
    <w:rsid w:val="004E020A"/>
    <w:rsid w:val="004E442E"/>
    <w:rsid w:val="004E57B3"/>
    <w:rsid w:val="0050574B"/>
    <w:rsid w:val="00506C9C"/>
    <w:rsid w:val="00517F13"/>
    <w:rsid w:val="00522052"/>
    <w:rsid w:val="00527B23"/>
    <w:rsid w:val="0053444C"/>
    <w:rsid w:val="00537778"/>
    <w:rsid w:val="00544573"/>
    <w:rsid w:val="00544758"/>
    <w:rsid w:val="005500D9"/>
    <w:rsid w:val="00555008"/>
    <w:rsid w:val="00560EDF"/>
    <w:rsid w:val="00561DCA"/>
    <w:rsid w:val="00566412"/>
    <w:rsid w:val="0057019F"/>
    <w:rsid w:val="00573995"/>
    <w:rsid w:val="00580B3D"/>
    <w:rsid w:val="0058400B"/>
    <w:rsid w:val="0059264E"/>
    <w:rsid w:val="005A0447"/>
    <w:rsid w:val="005A423D"/>
    <w:rsid w:val="005B0E5D"/>
    <w:rsid w:val="005B326D"/>
    <w:rsid w:val="005C60A3"/>
    <w:rsid w:val="005D75E5"/>
    <w:rsid w:val="00606962"/>
    <w:rsid w:val="00606CD4"/>
    <w:rsid w:val="00612DAD"/>
    <w:rsid w:val="00613655"/>
    <w:rsid w:val="00613DAA"/>
    <w:rsid w:val="00627EA4"/>
    <w:rsid w:val="00651A5F"/>
    <w:rsid w:val="00664B7F"/>
    <w:rsid w:val="0067141D"/>
    <w:rsid w:val="00673507"/>
    <w:rsid w:val="00682799"/>
    <w:rsid w:val="00694043"/>
    <w:rsid w:val="006A18BE"/>
    <w:rsid w:val="006A40A0"/>
    <w:rsid w:val="006A4AA8"/>
    <w:rsid w:val="006A6192"/>
    <w:rsid w:val="006A6758"/>
    <w:rsid w:val="006B422A"/>
    <w:rsid w:val="006C27A6"/>
    <w:rsid w:val="006C425D"/>
    <w:rsid w:val="006D40A9"/>
    <w:rsid w:val="006F2A81"/>
    <w:rsid w:val="00700579"/>
    <w:rsid w:val="00714D12"/>
    <w:rsid w:val="00717588"/>
    <w:rsid w:val="00737DC4"/>
    <w:rsid w:val="007442BC"/>
    <w:rsid w:val="00747B40"/>
    <w:rsid w:val="00754FF5"/>
    <w:rsid w:val="0075502B"/>
    <w:rsid w:val="00756550"/>
    <w:rsid w:val="00765A73"/>
    <w:rsid w:val="00771660"/>
    <w:rsid w:val="00792136"/>
    <w:rsid w:val="007965BB"/>
    <w:rsid w:val="00796A8D"/>
    <w:rsid w:val="0079725A"/>
    <w:rsid w:val="007B361E"/>
    <w:rsid w:val="007B6756"/>
    <w:rsid w:val="007C33B6"/>
    <w:rsid w:val="007C7069"/>
    <w:rsid w:val="007D26DE"/>
    <w:rsid w:val="007D6250"/>
    <w:rsid w:val="007E2A2B"/>
    <w:rsid w:val="007E65CA"/>
    <w:rsid w:val="007F6216"/>
    <w:rsid w:val="008045E6"/>
    <w:rsid w:val="00805BA0"/>
    <w:rsid w:val="00807E88"/>
    <w:rsid w:val="0081515F"/>
    <w:rsid w:val="0082229E"/>
    <w:rsid w:val="00823489"/>
    <w:rsid w:val="00825FEC"/>
    <w:rsid w:val="00834BA6"/>
    <w:rsid w:val="00843753"/>
    <w:rsid w:val="008448E0"/>
    <w:rsid w:val="00860954"/>
    <w:rsid w:val="00862085"/>
    <w:rsid w:val="0087126F"/>
    <w:rsid w:val="00873D97"/>
    <w:rsid w:val="0088144A"/>
    <w:rsid w:val="0088228E"/>
    <w:rsid w:val="008833BF"/>
    <w:rsid w:val="00884658"/>
    <w:rsid w:val="00885C3E"/>
    <w:rsid w:val="00893E24"/>
    <w:rsid w:val="008A024E"/>
    <w:rsid w:val="008A0492"/>
    <w:rsid w:val="008A48BD"/>
    <w:rsid w:val="008B4E60"/>
    <w:rsid w:val="008B56B6"/>
    <w:rsid w:val="008C4E33"/>
    <w:rsid w:val="008C4FE4"/>
    <w:rsid w:val="008C5A9C"/>
    <w:rsid w:val="008D6474"/>
    <w:rsid w:val="008E7738"/>
    <w:rsid w:val="008F183B"/>
    <w:rsid w:val="0091116D"/>
    <w:rsid w:val="00922147"/>
    <w:rsid w:val="00925FE6"/>
    <w:rsid w:val="0092700B"/>
    <w:rsid w:val="00927641"/>
    <w:rsid w:val="00930488"/>
    <w:rsid w:val="00933BFE"/>
    <w:rsid w:val="0096478E"/>
    <w:rsid w:val="009717AB"/>
    <w:rsid w:val="009824A9"/>
    <w:rsid w:val="00983301"/>
    <w:rsid w:val="00983A6F"/>
    <w:rsid w:val="00985604"/>
    <w:rsid w:val="009A3781"/>
    <w:rsid w:val="009B3F20"/>
    <w:rsid w:val="009D227D"/>
    <w:rsid w:val="009D2662"/>
    <w:rsid w:val="009D381A"/>
    <w:rsid w:val="009D38AC"/>
    <w:rsid w:val="009D483C"/>
    <w:rsid w:val="009F4524"/>
    <w:rsid w:val="00A26B5F"/>
    <w:rsid w:val="00A3593D"/>
    <w:rsid w:val="00A41CC0"/>
    <w:rsid w:val="00A47C51"/>
    <w:rsid w:val="00A523AA"/>
    <w:rsid w:val="00A5276A"/>
    <w:rsid w:val="00A608E7"/>
    <w:rsid w:val="00A6647F"/>
    <w:rsid w:val="00A70C82"/>
    <w:rsid w:val="00A70E95"/>
    <w:rsid w:val="00A73383"/>
    <w:rsid w:val="00A74D8F"/>
    <w:rsid w:val="00A75BCC"/>
    <w:rsid w:val="00A84197"/>
    <w:rsid w:val="00A842AF"/>
    <w:rsid w:val="00A901EA"/>
    <w:rsid w:val="00AA2573"/>
    <w:rsid w:val="00AA6F59"/>
    <w:rsid w:val="00AB1DB2"/>
    <w:rsid w:val="00AC33C0"/>
    <w:rsid w:val="00AC3E47"/>
    <w:rsid w:val="00AD01C3"/>
    <w:rsid w:val="00AD77D3"/>
    <w:rsid w:val="00AD7E7B"/>
    <w:rsid w:val="00AE0DAB"/>
    <w:rsid w:val="00AE3D26"/>
    <w:rsid w:val="00AF2003"/>
    <w:rsid w:val="00B0301B"/>
    <w:rsid w:val="00B070A5"/>
    <w:rsid w:val="00B21195"/>
    <w:rsid w:val="00B2233B"/>
    <w:rsid w:val="00B32C3A"/>
    <w:rsid w:val="00B40BF0"/>
    <w:rsid w:val="00B421EE"/>
    <w:rsid w:val="00B50DC7"/>
    <w:rsid w:val="00B51A40"/>
    <w:rsid w:val="00B54BF8"/>
    <w:rsid w:val="00B709D6"/>
    <w:rsid w:val="00B77BD8"/>
    <w:rsid w:val="00B854E9"/>
    <w:rsid w:val="00B91DCF"/>
    <w:rsid w:val="00B945CE"/>
    <w:rsid w:val="00B95BD3"/>
    <w:rsid w:val="00BB02FC"/>
    <w:rsid w:val="00BB5164"/>
    <w:rsid w:val="00BC310F"/>
    <w:rsid w:val="00BC4AA5"/>
    <w:rsid w:val="00BD09D8"/>
    <w:rsid w:val="00BD19BB"/>
    <w:rsid w:val="00BD31CC"/>
    <w:rsid w:val="00BD5272"/>
    <w:rsid w:val="00BF6439"/>
    <w:rsid w:val="00C16C8C"/>
    <w:rsid w:val="00C202B1"/>
    <w:rsid w:val="00C2242C"/>
    <w:rsid w:val="00C2690C"/>
    <w:rsid w:val="00C27768"/>
    <w:rsid w:val="00C27A2E"/>
    <w:rsid w:val="00C27BC9"/>
    <w:rsid w:val="00C315BF"/>
    <w:rsid w:val="00C41B49"/>
    <w:rsid w:val="00C4375B"/>
    <w:rsid w:val="00C509F8"/>
    <w:rsid w:val="00C54728"/>
    <w:rsid w:val="00C54C1E"/>
    <w:rsid w:val="00C62216"/>
    <w:rsid w:val="00C67C66"/>
    <w:rsid w:val="00C71132"/>
    <w:rsid w:val="00C73858"/>
    <w:rsid w:val="00C747B9"/>
    <w:rsid w:val="00C75B47"/>
    <w:rsid w:val="00C85218"/>
    <w:rsid w:val="00C90C64"/>
    <w:rsid w:val="00CA35F9"/>
    <w:rsid w:val="00CA55D4"/>
    <w:rsid w:val="00CB102D"/>
    <w:rsid w:val="00CB2061"/>
    <w:rsid w:val="00CC417F"/>
    <w:rsid w:val="00CC72CA"/>
    <w:rsid w:val="00CD2699"/>
    <w:rsid w:val="00CF1026"/>
    <w:rsid w:val="00CF7910"/>
    <w:rsid w:val="00D06B5A"/>
    <w:rsid w:val="00D32217"/>
    <w:rsid w:val="00D44018"/>
    <w:rsid w:val="00D46305"/>
    <w:rsid w:val="00D47D1C"/>
    <w:rsid w:val="00D52F00"/>
    <w:rsid w:val="00D63333"/>
    <w:rsid w:val="00D63E3C"/>
    <w:rsid w:val="00D73172"/>
    <w:rsid w:val="00D7431F"/>
    <w:rsid w:val="00D760E8"/>
    <w:rsid w:val="00D850D7"/>
    <w:rsid w:val="00DA553F"/>
    <w:rsid w:val="00DB1DC9"/>
    <w:rsid w:val="00DB2E08"/>
    <w:rsid w:val="00DB4815"/>
    <w:rsid w:val="00DB619D"/>
    <w:rsid w:val="00DB7361"/>
    <w:rsid w:val="00DC51CC"/>
    <w:rsid w:val="00DC59D8"/>
    <w:rsid w:val="00DF5CA0"/>
    <w:rsid w:val="00DF6401"/>
    <w:rsid w:val="00E10ACC"/>
    <w:rsid w:val="00E146B8"/>
    <w:rsid w:val="00E16EC9"/>
    <w:rsid w:val="00E20950"/>
    <w:rsid w:val="00E606E0"/>
    <w:rsid w:val="00E606F2"/>
    <w:rsid w:val="00E61E33"/>
    <w:rsid w:val="00E736F4"/>
    <w:rsid w:val="00E77F4F"/>
    <w:rsid w:val="00E817F5"/>
    <w:rsid w:val="00E91BC2"/>
    <w:rsid w:val="00E955CF"/>
    <w:rsid w:val="00E978DD"/>
    <w:rsid w:val="00EA60EB"/>
    <w:rsid w:val="00EB796B"/>
    <w:rsid w:val="00EC1175"/>
    <w:rsid w:val="00EC3562"/>
    <w:rsid w:val="00ED5CE3"/>
    <w:rsid w:val="00EE3034"/>
    <w:rsid w:val="00EE4C87"/>
    <w:rsid w:val="00EF4DAF"/>
    <w:rsid w:val="00F007C2"/>
    <w:rsid w:val="00F02E01"/>
    <w:rsid w:val="00F13FD8"/>
    <w:rsid w:val="00F14812"/>
    <w:rsid w:val="00F20765"/>
    <w:rsid w:val="00F274A9"/>
    <w:rsid w:val="00F30BFF"/>
    <w:rsid w:val="00F321EB"/>
    <w:rsid w:val="00F45104"/>
    <w:rsid w:val="00F52AD4"/>
    <w:rsid w:val="00F5440C"/>
    <w:rsid w:val="00F5618B"/>
    <w:rsid w:val="00F6003B"/>
    <w:rsid w:val="00F7143A"/>
    <w:rsid w:val="00F72FC3"/>
    <w:rsid w:val="00F7471C"/>
    <w:rsid w:val="00F947D7"/>
    <w:rsid w:val="00FA2501"/>
    <w:rsid w:val="00FA2CF5"/>
    <w:rsid w:val="00FA7BDD"/>
    <w:rsid w:val="00FB10CF"/>
    <w:rsid w:val="00FB2F14"/>
    <w:rsid w:val="00FB71B3"/>
    <w:rsid w:val="00FC45A7"/>
    <w:rsid w:val="00FC6CF0"/>
    <w:rsid w:val="00FE021F"/>
    <w:rsid w:val="00FE3AD9"/>
    <w:rsid w:val="00FE5926"/>
    <w:rsid w:val="00F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7C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491248"/>
    <w:pPr>
      <w:suppressAutoHyphens/>
    </w:pPr>
    <w:rPr>
      <w:sz w:val="24"/>
      <w:szCs w:val="24"/>
      <w:lang w:eastAsia="zh-CN"/>
    </w:rPr>
  </w:style>
  <w:style w:type="paragraph" w:styleId="berschrift1">
    <w:name w:val="heading 1"/>
    <w:basedOn w:val="Standard"/>
    <w:next w:val="Textbody"/>
    <w:pPr>
      <w:spacing w:before="100" w:after="100"/>
      <w:outlineLvl w:val="0"/>
    </w:pPr>
    <w:rPr>
      <w:b/>
      <w:bCs/>
      <w:kern w:val="3"/>
      <w:sz w:val="48"/>
      <w:szCs w:val="48"/>
    </w:rPr>
  </w:style>
  <w:style w:type="paragraph" w:styleId="berschrift2">
    <w:name w:val="heading 2"/>
    <w:basedOn w:val="Standard"/>
    <w:next w:val="Textbody"/>
    <w:pPr>
      <w:spacing w:before="100" w:after="100"/>
      <w:outlineLvl w:val="1"/>
    </w:pPr>
    <w:rPr>
      <w:b/>
      <w:bCs/>
      <w:sz w:val="36"/>
      <w:szCs w:val="36"/>
    </w:rPr>
  </w:style>
  <w:style w:type="paragraph" w:styleId="berschrift4">
    <w:name w:val="heading 4"/>
    <w:basedOn w:val="Standard"/>
    <w:next w:val="Textbody"/>
    <w:pPr>
      <w:spacing w:before="100" w:after="100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PNDJK O+ Demos EF"/>
      <w:sz w:val="26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ascii="Arial" w:eastAsia="Arial" w:hAnsi="Arial" w:cs="PNDJK O+ Demos EF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ascii="Arial" w:eastAsia="Arial" w:hAnsi="Arial" w:cs="PNDJK O+ Demos EF"/>
      <w:i/>
      <w:iCs/>
      <w:sz w:val="22"/>
    </w:rPr>
  </w:style>
  <w:style w:type="paragraph" w:customStyle="1" w:styleId="Index">
    <w:name w:val="Index"/>
    <w:basedOn w:val="Standard"/>
    <w:pPr>
      <w:suppressLineNumbers/>
    </w:pPr>
    <w:rPr>
      <w:rFonts w:ascii="Arial" w:eastAsia="Arial" w:hAnsi="Arial" w:cs="PNDJK O+ Demos EF"/>
    </w:rPr>
  </w:style>
  <w:style w:type="paragraph" w:styleId="StandardWeb">
    <w:name w:val="Normal (Web)"/>
    <w:basedOn w:val="Standard"/>
    <w:pPr>
      <w:spacing w:before="100" w:after="100"/>
    </w:pPr>
  </w:style>
  <w:style w:type="paragraph" w:styleId="Kommentartext">
    <w:name w:val="annotation text"/>
    <w:basedOn w:val="Standard"/>
    <w:rPr>
      <w:sz w:val="20"/>
    </w:rPr>
  </w:style>
  <w:style w:type="paragraph" w:customStyle="1" w:styleId="Default">
    <w:name w:val="Default"/>
    <w:pPr>
      <w:suppressAutoHyphens/>
      <w:autoSpaceDE w:val="0"/>
    </w:pPr>
    <w:rPr>
      <w:rFonts w:ascii="PNDJK O+ Demos EF" w:eastAsia="PNDJK O+ Demos EF" w:hAnsi="PNDJK O+ Demos EF" w:cs="PNDJK O+ Demos EF"/>
      <w:color w:val="000000"/>
      <w:sz w:val="24"/>
      <w:szCs w:val="24"/>
      <w:lang w:eastAsia="zh-CN"/>
    </w:rPr>
  </w:style>
  <w:style w:type="paragraph" w:styleId="Sprechblasentext">
    <w:name w:val="Balloon Text"/>
    <w:basedOn w:val="Standard"/>
    <w:rPr>
      <w:rFonts w:ascii="Tahoma" w:eastAsia="Tahoma" w:hAnsi="Tahoma" w:cs="PNDJK O+ Demos EF"/>
      <w:sz w:val="16"/>
      <w:szCs w:val="16"/>
    </w:rPr>
  </w:style>
  <w:style w:type="paragraph" w:styleId="Kommentarthema">
    <w:name w:val="annotation subject"/>
    <w:basedOn w:val="Kommentartext"/>
    <w:next w:val="Kommentartext"/>
    <w:rPr>
      <w:b/>
      <w:bCs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TMLAkronym">
    <w:name w:val="HTML Acronym"/>
    <w:basedOn w:val="Absatz-Standardschriftart"/>
  </w:style>
  <w:style w:type="character" w:styleId="Kommentarzeichen">
    <w:name w:val="annotation reference"/>
    <w:rPr>
      <w:sz w:val="16"/>
    </w:rPr>
  </w:style>
  <w:style w:type="character" w:customStyle="1" w:styleId="KommentartextZchn">
    <w:name w:val="Kommentartext Zchn"/>
    <w:rPr>
      <w:szCs w:val="24"/>
    </w:rPr>
  </w:style>
  <w:style w:type="character" w:customStyle="1" w:styleId="KommentarthemaZchn">
    <w:name w:val="Kommentarthema Zchn"/>
    <w:basedOn w:val="KommentartextZchn"/>
    <w:rPr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F30BF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30BFF"/>
    <w:rPr>
      <w:sz w:val="24"/>
      <w:szCs w:val="24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F30BF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30BFF"/>
    <w:rPr>
      <w:sz w:val="24"/>
      <w:szCs w:val="24"/>
      <w:lang w:eastAsia="zh-CN"/>
    </w:rPr>
  </w:style>
  <w:style w:type="paragraph" w:styleId="Listenabsatz">
    <w:name w:val="List Paragraph"/>
    <w:basedOn w:val="Standard"/>
    <w:uiPriority w:val="34"/>
    <w:qFormat/>
    <w:rsid w:val="00A608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491248"/>
    <w:pPr>
      <w:suppressAutoHyphens/>
    </w:pPr>
    <w:rPr>
      <w:sz w:val="24"/>
      <w:szCs w:val="24"/>
      <w:lang w:eastAsia="zh-CN"/>
    </w:rPr>
  </w:style>
  <w:style w:type="paragraph" w:styleId="berschrift1">
    <w:name w:val="heading 1"/>
    <w:basedOn w:val="Standard"/>
    <w:next w:val="Textbody"/>
    <w:pPr>
      <w:spacing w:before="100" w:after="100"/>
      <w:outlineLvl w:val="0"/>
    </w:pPr>
    <w:rPr>
      <w:b/>
      <w:bCs/>
      <w:kern w:val="3"/>
      <w:sz w:val="48"/>
      <w:szCs w:val="48"/>
    </w:rPr>
  </w:style>
  <w:style w:type="paragraph" w:styleId="berschrift2">
    <w:name w:val="heading 2"/>
    <w:basedOn w:val="Standard"/>
    <w:next w:val="Textbody"/>
    <w:pPr>
      <w:spacing w:before="100" w:after="100"/>
      <w:outlineLvl w:val="1"/>
    </w:pPr>
    <w:rPr>
      <w:b/>
      <w:bCs/>
      <w:sz w:val="36"/>
      <w:szCs w:val="36"/>
    </w:rPr>
  </w:style>
  <w:style w:type="paragraph" w:styleId="berschrift4">
    <w:name w:val="heading 4"/>
    <w:basedOn w:val="Standard"/>
    <w:next w:val="Textbody"/>
    <w:pPr>
      <w:spacing w:before="100" w:after="100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PNDJK O+ Demos EF"/>
      <w:sz w:val="26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ascii="Arial" w:eastAsia="Arial" w:hAnsi="Arial" w:cs="PNDJK O+ Demos EF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ascii="Arial" w:eastAsia="Arial" w:hAnsi="Arial" w:cs="PNDJK O+ Demos EF"/>
      <w:i/>
      <w:iCs/>
      <w:sz w:val="22"/>
    </w:rPr>
  </w:style>
  <w:style w:type="paragraph" w:customStyle="1" w:styleId="Index">
    <w:name w:val="Index"/>
    <w:basedOn w:val="Standard"/>
    <w:pPr>
      <w:suppressLineNumbers/>
    </w:pPr>
    <w:rPr>
      <w:rFonts w:ascii="Arial" w:eastAsia="Arial" w:hAnsi="Arial" w:cs="PNDJK O+ Demos EF"/>
    </w:rPr>
  </w:style>
  <w:style w:type="paragraph" w:styleId="StandardWeb">
    <w:name w:val="Normal (Web)"/>
    <w:basedOn w:val="Standard"/>
    <w:pPr>
      <w:spacing w:before="100" w:after="100"/>
    </w:pPr>
  </w:style>
  <w:style w:type="paragraph" w:styleId="Kommentartext">
    <w:name w:val="annotation text"/>
    <w:basedOn w:val="Standard"/>
    <w:rPr>
      <w:sz w:val="20"/>
    </w:rPr>
  </w:style>
  <w:style w:type="paragraph" w:customStyle="1" w:styleId="Default">
    <w:name w:val="Default"/>
    <w:pPr>
      <w:suppressAutoHyphens/>
      <w:autoSpaceDE w:val="0"/>
    </w:pPr>
    <w:rPr>
      <w:rFonts w:ascii="PNDJK O+ Demos EF" w:eastAsia="PNDJK O+ Demos EF" w:hAnsi="PNDJK O+ Demos EF" w:cs="PNDJK O+ Demos EF"/>
      <w:color w:val="000000"/>
      <w:sz w:val="24"/>
      <w:szCs w:val="24"/>
      <w:lang w:eastAsia="zh-CN"/>
    </w:rPr>
  </w:style>
  <w:style w:type="paragraph" w:styleId="Sprechblasentext">
    <w:name w:val="Balloon Text"/>
    <w:basedOn w:val="Standard"/>
    <w:rPr>
      <w:rFonts w:ascii="Tahoma" w:eastAsia="Tahoma" w:hAnsi="Tahoma" w:cs="PNDJK O+ Demos EF"/>
      <w:sz w:val="16"/>
      <w:szCs w:val="16"/>
    </w:rPr>
  </w:style>
  <w:style w:type="paragraph" w:styleId="Kommentarthema">
    <w:name w:val="annotation subject"/>
    <w:basedOn w:val="Kommentartext"/>
    <w:next w:val="Kommentartext"/>
    <w:rPr>
      <w:b/>
      <w:bCs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TMLAkronym">
    <w:name w:val="HTML Acronym"/>
    <w:basedOn w:val="Absatz-Standardschriftart"/>
  </w:style>
  <w:style w:type="character" w:styleId="Kommentarzeichen">
    <w:name w:val="annotation reference"/>
    <w:rPr>
      <w:sz w:val="16"/>
    </w:rPr>
  </w:style>
  <w:style w:type="character" w:customStyle="1" w:styleId="KommentartextZchn">
    <w:name w:val="Kommentartext Zchn"/>
    <w:rPr>
      <w:szCs w:val="24"/>
    </w:rPr>
  </w:style>
  <w:style w:type="character" w:customStyle="1" w:styleId="KommentarthemaZchn">
    <w:name w:val="Kommentarthema Zchn"/>
    <w:basedOn w:val="KommentartextZchn"/>
    <w:rPr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F30BF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30BFF"/>
    <w:rPr>
      <w:sz w:val="24"/>
      <w:szCs w:val="24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F30BF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30BFF"/>
    <w:rPr>
      <w:sz w:val="24"/>
      <w:szCs w:val="24"/>
      <w:lang w:eastAsia="zh-CN"/>
    </w:rPr>
  </w:style>
  <w:style w:type="paragraph" w:styleId="Listenabsatz">
    <w:name w:val="List Paragraph"/>
    <w:basedOn w:val="Standard"/>
    <w:uiPriority w:val="34"/>
    <w:qFormat/>
    <w:rsid w:val="00A60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b.de/52754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nergyinst.org/statistical-review/abou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1305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2024-10-01T19:32:00Z</dcterms:created>
  <dcterms:modified xsi:type="dcterms:W3CDTF">2024-10-21T19:15:00Z</dcterms:modified>
</cp:coreProperties>
</file>