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FDBF35" w14:textId="77777777" w:rsidR="001C4A93" w:rsidRDefault="001C4A93" w:rsidP="00215F21">
      <w:pPr>
        <w:pStyle w:val="StandardWeb"/>
        <w:numPr>
          <w:ilvl w:val="0"/>
          <w:numId w:val="8"/>
        </w:numPr>
        <w:spacing w:before="0" w:beforeAutospacing="0" w:after="0" w:afterAutospacing="0"/>
        <w:rPr>
          <w:rFonts w:ascii="Arial" w:hAnsi="Arial" w:cs="Arial"/>
          <w:b/>
          <w:bCs/>
        </w:rPr>
      </w:pPr>
      <w:r w:rsidRPr="00215F21">
        <w:rPr>
          <w:rFonts w:ascii="Arial" w:hAnsi="Arial" w:cs="Arial"/>
          <w:b/>
          <w:bCs/>
        </w:rPr>
        <w:t>Im Jahr 1980 hielten die Käufer von Aktien diese rund zehn Jahre in ihrem Besitz. Mit dem Kauf einer Aktie verband sich ein langfristiges Investitionsinteresse.</w:t>
      </w:r>
    </w:p>
    <w:p w14:paraId="0AC69C29" w14:textId="77777777" w:rsidR="00A31A72" w:rsidRPr="00215F21" w:rsidRDefault="00A31A72" w:rsidP="00A31A72">
      <w:pPr>
        <w:pStyle w:val="StandardWeb"/>
        <w:spacing w:before="0" w:beforeAutospacing="0" w:after="0" w:afterAutospacing="0"/>
        <w:ind w:left="720"/>
        <w:rPr>
          <w:rFonts w:ascii="Arial" w:hAnsi="Arial" w:cs="Arial"/>
          <w:b/>
          <w:bCs/>
        </w:rPr>
      </w:pPr>
    </w:p>
    <w:p w14:paraId="629D31D6" w14:textId="77777777" w:rsidR="001C4A93" w:rsidRDefault="001C4A93" w:rsidP="00215F21">
      <w:pPr>
        <w:pStyle w:val="StandardWeb"/>
        <w:numPr>
          <w:ilvl w:val="0"/>
          <w:numId w:val="8"/>
        </w:numPr>
        <w:spacing w:before="0" w:beforeAutospacing="0" w:after="0" w:afterAutospacing="0"/>
        <w:rPr>
          <w:rFonts w:ascii="Arial" w:hAnsi="Arial" w:cs="Arial"/>
          <w:b/>
          <w:bCs/>
        </w:rPr>
      </w:pPr>
      <w:r w:rsidRPr="00215F21">
        <w:rPr>
          <w:rFonts w:ascii="Arial" w:hAnsi="Arial" w:cs="Arial"/>
          <w:b/>
          <w:bCs/>
        </w:rPr>
        <w:t>Hingegen liegt die durchschnittliche Haltedauer in allen Jahren seit 2005 bei weniger als einem Jahr.</w:t>
      </w:r>
    </w:p>
    <w:p w14:paraId="00618C2B" w14:textId="77777777" w:rsidR="00A31A72" w:rsidRPr="00215F21" w:rsidRDefault="00A31A72" w:rsidP="00A31A72">
      <w:pPr>
        <w:pStyle w:val="StandardWeb"/>
        <w:spacing w:before="0" w:beforeAutospacing="0" w:after="0" w:afterAutospacing="0"/>
        <w:rPr>
          <w:rFonts w:ascii="Arial" w:hAnsi="Arial" w:cs="Arial"/>
          <w:b/>
          <w:bCs/>
        </w:rPr>
      </w:pPr>
    </w:p>
    <w:p w14:paraId="438DD9ED" w14:textId="77777777" w:rsidR="001C4A93" w:rsidRDefault="001C4A93" w:rsidP="00215F21">
      <w:pPr>
        <w:pStyle w:val="StandardWeb"/>
        <w:numPr>
          <w:ilvl w:val="0"/>
          <w:numId w:val="8"/>
        </w:numPr>
        <w:spacing w:before="0" w:beforeAutospacing="0" w:after="0" w:afterAutospacing="0"/>
        <w:rPr>
          <w:rFonts w:ascii="Arial" w:hAnsi="Arial" w:cs="Arial"/>
          <w:b/>
          <w:bCs/>
        </w:rPr>
      </w:pPr>
      <w:r w:rsidRPr="00215F21">
        <w:rPr>
          <w:rFonts w:ascii="Arial" w:hAnsi="Arial" w:cs="Arial"/>
          <w:b/>
          <w:bCs/>
        </w:rPr>
        <w:t>Gerade beim computergestützten, automatisierten Handel stehen kurzfristige Kursveränderungen im Mittelpunkt.</w:t>
      </w:r>
    </w:p>
    <w:p w14:paraId="0B9BA319" w14:textId="77777777" w:rsidR="00A31A72" w:rsidRPr="00215F21" w:rsidRDefault="00A31A72" w:rsidP="00A31A72">
      <w:pPr>
        <w:pStyle w:val="StandardWeb"/>
        <w:spacing w:before="0" w:beforeAutospacing="0" w:after="0" w:afterAutospacing="0"/>
        <w:rPr>
          <w:rFonts w:ascii="Arial" w:hAnsi="Arial" w:cs="Arial"/>
          <w:b/>
          <w:bCs/>
        </w:rPr>
      </w:pPr>
    </w:p>
    <w:p w14:paraId="33EE2440" w14:textId="77777777" w:rsidR="001C4A93" w:rsidRPr="00215F21" w:rsidRDefault="001C4A93" w:rsidP="00215F21">
      <w:pPr>
        <w:pStyle w:val="StandardWeb"/>
        <w:numPr>
          <w:ilvl w:val="0"/>
          <w:numId w:val="8"/>
        </w:numPr>
        <w:spacing w:before="0" w:beforeAutospacing="0" w:after="0" w:afterAutospacing="0"/>
        <w:rPr>
          <w:rFonts w:ascii="Arial" w:hAnsi="Arial" w:cs="Arial"/>
          <w:b/>
          <w:bCs/>
        </w:rPr>
      </w:pPr>
      <w:r w:rsidRPr="00215F21">
        <w:rPr>
          <w:rFonts w:ascii="Arial" w:hAnsi="Arial" w:cs="Arial"/>
          <w:b/>
          <w:bCs/>
        </w:rPr>
        <w:t>In Krisenzeiten verkürzt sich die Haltedauer nochmals – 2008 wurden Aktien im Durchschnitt nach knapp vier Monaten Haltedauer wieder verkauft, 2022 nach sechs Monaten.</w:t>
      </w:r>
    </w:p>
    <w:p w14:paraId="3D713C2E" w14:textId="77777777" w:rsidR="00EC03CF" w:rsidRPr="00EC03CF" w:rsidRDefault="00EC03CF" w:rsidP="00EC03CF">
      <w:pPr>
        <w:spacing w:after="0" w:line="240" w:lineRule="auto"/>
        <w:rPr>
          <w:rFonts w:ascii="Arial" w:eastAsia="Times New Roman" w:hAnsi="Arial" w:cs="Arial"/>
          <w:sz w:val="24"/>
          <w:szCs w:val="24"/>
          <w:lang w:eastAsia="de-DE"/>
        </w:rPr>
      </w:pPr>
    </w:p>
    <w:p w14:paraId="3A9CA8BE" w14:textId="77777777" w:rsidR="004042D4" w:rsidRPr="009E5564" w:rsidRDefault="004042D4" w:rsidP="009E5564">
      <w:pPr>
        <w:pStyle w:val="StandardWeb"/>
        <w:spacing w:before="0" w:beforeAutospacing="0" w:after="0" w:afterAutospacing="0"/>
        <w:rPr>
          <w:rFonts w:ascii="Arial" w:hAnsi="Arial" w:cs="Arial"/>
          <w:color w:val="FF0000"/>
        </w:rPr>
      </w:pPr>
      <w:r w:rsidRPr="009E5564">
        <w:rPr>
          <w:rFonts w:ascii="Arial" w:hAnsi="Arial" w:cs="Arial"/>
          <w:color w:val="FF0000"/>
        </w:rPr>
        <w:t>Fakten</w:t>
      </w:r>
    </w:p>
    <w:p w14:paraId="7A837535" w14:textId="77777777" w:rsidR="009E5564" w:rsidRDefault="009E5564" w:rsidP="009E5564">
      <w:pPr>
        <w:spacing w:after="0" w:line="240" w:lineRule="auto"/>
        <w:rPr>
          <w:rFonts w:ascii="Arial" w:eastAsia="Times New Roman" w:hAnsi="Arial" w:cs="Arial"/>
          <w:sz w:val="24"/>
          <w:szCs w:val="24"/>
          <w:lang w:eastAsia="de-DE"/>
        </w:rPr>
      </w:pPr>
    </w:p>
    <w:p w14:paraId="2702528C" w14:textId="482F6978" w:rsidR="00FC19DB" w:rsidRDefault="001C4A93" w:rsidP="009E5564">
      <w:pPr>
        <w:spacing w:after="0" w:line="240" w:lineRule="auto"/>
        <w:rPr>
          <w:rFonts w:ascii="Arial" w:eastAsia="Times New Roman" w:hAnsi="Arial" w:cs="Arial"/>
          <w:sz w:val="24"/>
          <w:szCs w:val="24"/>
          <w:lang w:eastAsia="de-DE"/>
        </w:rPr>
      </w:pPr>
      <w:r w:rsidRPr="009E5564">
        <w:rPr>
          <w:rFonts w:ascii="Arial" w:eastAsia="Times New Roman" w:hAnsi="Arial" w:cs="Arial"/>
          <w:sz w:val="24"/>
          <w:szCs w:val="24"/>
          <w:lang w:eastAsia="de-DE"/>
        </w:rPr>
        <w:t>Zwischen 1980 und dem Jahr 2023 sind der Aktienbestand und der Handel mit Aktien stark gestiegen.</w:t>
      </w:r>
      <w:r w:rsidR="002F2395" w:rsidRPr="008F4B29">
        <w:rPr>
          <w:rFonts w:ascii="Arial" w:eastAsia="Times New Roman" w:hAnsi="Arial" w:cs="Arial"/>
          <w:sz w:val="24"/>
          <w:szCs w:val="24"/>
          <w:lang w:eastAsia="de-DE"/>
        </w:rPr>
        <w:t> In den 1990er-Jahren wuchsen Aktienbestand und -handel nahezu in jedem Jahr, s</w:t>
      </w:r>
      <w:r w:rsidRPr="009E5564">
        <w:rPr>
          <w:rFonts w:ascii="Arial" w:eastAsia="Times New Roman" w:hAnsi="Arial" w:cs="Arial"/>
          <w:sz w:val="24"/>
          <w:szCs w:val="24"/>
          <w:lang w:eastAsia="de-DE"/>
        </w:rPr>
        <w:t>eit dem Jahr 2000 verläuft die Entwicklung</w:t>
      </w:r>
      <w:r w:rsidR="002F2395">
        <w:rPr>
          <w:rFonts w:ascii="Arial" w:eastAsia="Times New Roman" w:hAnsi="Arial" w:cs="Arial"/>
          <w:sz w:val="24"/>
          <w:szCs w:val="24"/>
          <w:lang w:eastAsia="de-DE"/>
        </w:rPr>
        <w:t xml:space="preserve"> wechselhaft</w:t>
      </w:r>
      <w:r w:rsidR="00844320">
        <w:rPr>
          <w:rFonts w:ascii="Arial" w:eastAsia="Times New Roman" w:hAnsi="Arial" w:cs="Arial"/>
          <w:sz w:val="24"/>
          <w:szCs w:val="24"/>
          <w:lang w:eastAsia="de-DE"/>
        </w:rPr>
        <w:t>er</w:t>
      </w:r>
      <w:r w:rsidR="002F2395">
        <w:rPr>
          <w:rFonts w:ascii="Arial" w:eastAsia="Times New Roman" w:hAnsi="Arial" w:cs="Arial"/>
          <w:sz w:val="24"/>
          <w:szCs w:val="24"/>
          <w:lang w:eastAsia="de-DE"/>
        </w:rPr>
        <w:t>.</w:t>
      </w:r>
      <w:r w:rsidRPr="009E5564">
        <w:rPr>
          <w:rFonts w:ascii="Arial" w:eastAsia="Times New Roman" w:hAnsi="Arial" w:cs="Arial"/>
          <w:sz w:val="24"/>
          <w:szCs w:val="24"/>
          <w:lang w:eastAsia="de-DE"/>
        </w:rPr>
        <w:t xml:space="preserve"> </w:t>
      </w:r>
      <w:r w:rsidR="00B10F32" w:rsidRPr="009E5564">
        <w:rPr>
          <w:rFonts w:ascii="Arial" w:eastAsia="Times New Roman" w:hAnsi="Arial" w:cs="Arial"/>
          <w:sz w:val="24"/>
          <w:szCs w:val="24"/>
          <w:lang w:eastAsia="de-DE"/>
        </w:rPr>
        <w:t xml:space="preserve">In der </w:t>
      </w:r>
      <w:proofErr w:type="spellStart"/>
      <w:r w:rsidR="00B10F32" w:rsidRPr="009E5564">
        <w:rPr>
          <w:rFonts w:ascii="Arial" w:eastAsia="Times New Roman" w:hAnsi="Arial" w:cs="Arial"/>
          <w:sz w:val="24"/>
          <w:szCs w:val="24"/>
          <w:lang w:eastAsia="de-DE"/>
        </w:rPr>
        <w:t>Boomphase</w:t>
      </w:r>
      <w:proofErr w:type="spellEnd"/>
      <w:r w:rsidR="00B10F32" w:rsidRPr="009E5564">
        <w:rPr>
          <w:rFonts w:ascii="Arial" w:eastAsia="Times New Roman" w:hAnsi="Arial" w:cs="Arial"/>
          <w:sz w:val="24"/>
          <w:szCs w:val="24"/>
          <w:lang w:eastAsia="de-DE"/>
        </w:rPr>
        <w:t xml:space="preserve"> der ersten zwei Dekaden</w:t>
      </w:r>
      <w:r w:rsidR="00FC19DB" w:rsidRPr="009E5564">
        <w:rPr>
          <w:rFonts w:ascii="Arial" w:eastAsia="Times New Roman" w:hAnsi="Arial" w:cs="Arial"/>
          <w:sz w:val="24"/>
          <w:szCs w:val="24"/>
          <w:lang w:eastAsia="de-DE"/>
        </w:rPr>
        <w:t xml:space="preserve"> hat sich die Marktkapitalisierung mehr als verzehnfacht, nach der Jahrtausendwende hingegen nur etwas mehr als verdreifacht.</w:t>
      </w:r>
    </w:p>
    <w:p w14:paraId="12353084" w14:textId="77777777" w:rsidR="008F4B29" w:rsidRDefault="008F4B29" w:rsidP="009E5564">
      <w:pPr>
        <w:spacing w:after="0" w:line="240" w:lineRule="auto"/>
        <w:rPr>
          <w:rFonts w:ascii="Arial" w:eastAsia="Times New Roman" w:hAnsi="Arial" w:cs="Arial"/>
          <w:sz w:val="24"/>
          <w:szCs w:val="24"/>
          <w:lang w:eastAsia="de-DE"/>
        </w:rPr>
      </w:pPr>
    </w:p>
    <w:p w14:paraId="013172F2" w14:textId="77777777" w:rsidR="002B3ED0" w:rsidRDefault="002F2395" w:rsidP="003E68D5">
      <w:pPr>
        <w:spacing w:after="0" w:line="240" w:lineRule="auto"/>
        <w:rPr>
          <w:rFonts w:ascii="Arial" w:eastAsia="Times New Roman" w:hAnsi="Arial" w:cs="Arial"/>
          <w:sz w:val="24"/>
          <w:szCs w:val="24"/>
          <w:lang w:eastAsia="de-DE"/>
        </w:rPr>
      </w:pPr>
      <w:r w:rsidRPr="008F4B29">
        <w:rPr>
          <w:rFonts w:ascii="Arial" w:eastAsia="Times New Roman" w:hAnsi="Arial" w:cs="Arial"/>
          <w:sz w:val="24"/>
          <w:szCs w:val="24"/>
          <w:lang w:eastAsia="de-DE"/>
        </w:rPr>
        <w:t xml:space="preserve">Der Börsenwert oder Aktienkurs eines Unternehmens wird durch zwei Faktoren beeinflusst, die erwarteten zukünftigen Gewinne des Unternehmens/Dividenden (Fundamentalwert) und die preisgetriebene Nachfrage (Spekulationsmotiv). Beide Faktoren stiegen im Zeitablauf. Insbesondere technische Entwicklungen steigerten die Produktivität und damit die Ertragskraft und in der Folge die Dividenden, also den Fundamentalwert der Unternehmen. Die spekulative Nachfrage zielt in der Regel auf Gewinne durch Kurssteigerungen ab und ist eher kurzfristiger Natur. Gute Fundamentalwerte </w:t>
      </w:r>
      <w:r w:rsidR="008F4B29" w:rsidRPr="008F4B29">
        <w:rPr>
          <w:rFonts w:ascii="Arial" w:eastAsia="Times New Roman" w:hAnsi="Arial" w:cs="Arial"/>
          <w:sz w:val="24"/>
          <w:szCs w:val="24"/>
          <w:lang w:eastAsia="de-DE"/>
        </w:rPr>
        <w:t xml:space="preserve">erhöhen die </w:t>
      </w:r>
      <w:r w:rsidRPr="008F4B29">
        <w:rPr>
          <w:rFonts w:ascii="Arial" w:eastAsia="Times New Roman" w:hAnsi="Arial" w:cs="Arial"/>
          <w:sz w:val="24"/>
          <w:szCs w:val="24"/>
          <w:lang w:eastAsia="de-DE"/>
        </w:rPr>
        <w:t>spekulative Nachfrage</w:t>
      </w:r>
      <w:r w:rsidR="008F4B29" w:rsidRPr="008F4B29">
        <w:rPr>
          <w:rFonts w:ascii="Arial" w:eastAsia="Times New Roman" w:hAnsi="Arial" w:cs="Arial"/>
          <w:sz w:val="24"/>
          <w:szCs w:val="24"/>
          <w:lang w:eastAsia="de-DE"/>
        </w:rPr>
        <w:t xml:space="preserve"> z</w:t>
      </w:r>
      <w:r w:rsidRPr="008F4B29">
        <w:rPr>
          <w:rFonts w:ascii="Arial" w:eastAsia="Times New Roman" w:hAnsi="Arial" w:cs="Arial"/>
          <w:sz w:val="24"/>
          <w:szCs w:val="24"/>
          <w:lang w:eastAsia="de-DE"/>
        </w:rPr>
        <w:t>usätzlich.</w:t>
      </w:r>
      <w:r w:rsidR="003E68D5">
        <w:rPr>
          <w:rFonts w:ascii="Arial" w:eastAsia="Times New Roman" w:hAnsi="Arial" w:cs="Arial"/>
          <w:sz w:val="24"/>
          <w:szCs w:val="24"/>
          <w:lang w:eastAsia="de-DE"/>
        </w:rPr>
        <w:t xml:space="preserve"> Entsprechend ist der </w:t>
      </w:r>
      <w:r w:rsidR="009A719A" w:rsidRPr="003E68D5">
        <w:rPr>
          <w:rFonts w:ascii="Arial" w:eastAsia="Times New Roman" w:hAnsi="Arial" w:cs="Arial"/>
          <w:sz w:val="24"/>
          <w:szCs w:val="24"/>
          <w:lang w:eastAsia="de-DE"/>
        </w:rPr>
        <w:t xml:space="preserve">Börsenwert der einzelnen Unternehmen seit 1980 </w:t>
      </w:r>
      <w:r w:rsidR="003E68D5" w:rsidRPr="003E68D5">
        <w:rPr>
          <w:rFonts w:ascii="Arial" w:eastAsia="Times New Roman" w:hAnsi="Arial" w:cs="Arial"/>
          <w:sz w:val="24"/>
          <w:szCs w:val="24"/>
          <w:lang w:eastAsia="de-DE"/>
        </w:rPr>
        <w:t>insgesamt stetig g</w:t>
      </w:r>
      <w:r w:rsidR="009A719A" w:rsidRPr="003E68D5">
        <w:rPr>
          <w:rFonts w:ascii="Arial" w:eastAsia="Times New Roman" w:hAnsi="Arial" w:cs="Arial"/>
          <w:sz w:val="24"/>
          <w:szCs w:val="24"/>
          <w:lang w:eastAsia="de-DE"/>
        </w:rPr>
        <w:t xml:space="preserve">ewachsen </w:t>
      </w:r>
      <w:r w:rsidR="003E68D5" w:rsidRPr="003E68D5">
        <w:rPr>
          <w:rFonts w:ascii="Arial" w:eastAsia="Times New Roman" w:hAnsi="Arial" w:cs="Arial"/>
          <w:sz w:val="24"/>
          <w:szCs w:val="24"/>
          <w:lang w:eastAsia="de-DE"/>
        </w:rPr>
        <w:t xml:space="preserve">– </w:t>
      </w:r>
      <w:r w:rsidR="009A719A" w:rsidRPr="003E68D5">
        <w:rPr>
          <w:rFonts w:ascii="Arial" w:eastAsia="Times New Roman" w:hAnsi="Arial" w:cs="Arial"/>
          <w:sz w:val="24"/>
          <w:szCs w:val="24"/>
          <w:lang w:eastAsia="de-DE"/>
        </w:rPr>
        <w:t>mit zwei Einbrüchen nach dem Platzen der Dotcomblase 2001/</w:t>
      </w:r>
      <w:r w:rsidR="003E68D5" w:rsidRPr="003E68D5">
        <w:rPr>
          <w:rFonts w:ascii="Arial" w:eastAsia="Times New Roman" w:hAnsi="Arial" w:cs="Arial"/>
          <w:sz w:val="24"/>
          <w:szCs w:val="24"/>
          <w:lang w:eastAsia="de-DE"/>
        </w:rPr>
        <w:t>200</w:t>
      </w:r>
      <w:r w:rsidR="009A719A" w:rsidRPr="003E68D5">
        <w:rPr>
          <w:rFonts w:ascii="Arial" w:eastAsia="Times New Roman" w:hAnsi="Arial" w:cs="Arial"/>
          <w:sz w:val="24"/>
          <w:szCs w:val="24"/>
          <w:lang w:eastAsia="de-DE"/>
        </w:rPr>
        <w:t>2 und</w:t>
      </w:r>
      <w:r w:rsidR="003E68D5" w:rsidRPr="003E68D5">
        <w:rPr>
          <w:rFonts w:ascii="Arial" w:eastAsia="Times New Roman" w:hAnsi="Arial" w:cs="Arial"/>
          <w:sz w:val="24"/>
          <w:szCs w:val="24"/>
          <w:lang w:eastAsia="de-DE"/>
        </w:rPr>
        <w:t xml:space="preserve"> bei der globalen Finanzkrise 2008</w:t>
      </w:r>
      <w:r w:rsidR="009A719A" w:rsidRPr="003E68D5">
        <w:rPr>
          <w:rFonts w:ascii="Arial" w:eastAsia="Times New Roman" w:hAnsi="Arial" w:cs="Arial"/>
          <w:sz w:val="24"/>
          <w:szCs w:val="24"/>
          <w:lang w:eastAsia="de-DE"/>
        </w:rPr>
        <w:t>.</w:t>
      </w:r>
    </w:p>
    <w:p w14:paraId="41DF103B" w14:textId="77777777" w:rsidR="002B3ED0" w:rsidRDefault="002B3ED0" w:rsidP="003E68D5">
      <w:pPr>
        <w:spacing w:after="0" w:line="240" w:lineRule="auto"/>
        <w:rPr>
          <w:rFonts w:ascii="Arial" w:eastAsia="Times New Roman" w:hAnsi="Arial" w:cs="Arial"/>
          <w:sz w:val="24"/>
          <w:szCs w:val="24"/>
          <w:lang w:eastAsia="de-DE"/>
        </w:rPr>
      </w:pPr>
    </w:p>
    <w:p w14:paraId="14FAE093" w14:textId="213C711B" w:rsidR="0091212E" w:rsidRDefault="002B3ED0" w:rsidP="001154AF">
      <w:pPr>
        <w:spacing w:after="0" w:line="240" w:lineRule="auto"/>
        <w:rPr>
          <w:rFonts w:ascii="Arial" w:eastAsia="Times New Roman" w:hAnsi="Arial" w:cs="Arial"/>
          <w:sz w:val="24"/>
          <w:szCs w:val="24"/>
          <w:lang w:eastAsia="de-DE"/>
        </w:rPr>
      </w:pPr>
      <w:r w:rsidRPr="002B3ED0">
        <w:rPr>
          <w:rFonts w:ascii="Arial" w:eastAsia="Times New Roman" w:hAnsi="Arial" w:cs="Arial"/>
          <w:sz w:val="24"/>
          <w:szCs w:val="24"/>
          <w:lang w:eastAsia="de-DE"/>
        </w:rPr>
        <w:t xml:space="preserve">Der Aktienhandel und -bestand entwickelten sich mit unterschiedlicher Geschwindigkeit: Der Aktienhandel hat sich zwischen 1990 und dem Durchschnitt der Jahre 2017 bis 2019 mehr als verzwanzigfacht. Der Aktienbestand stieg um das 9,5-fache und damit deutlich langsamer. Der Aktienhandel ist in dieser Zeit also rund doppelt so schnell gewachsen wie der Aktienbestand, was sich in deutlich geringeren Haltezeiten widerspiegelt. </w:t>
      </w:r>
      <w:r w:rsidR="005009EF" w:rsidRPr="002B3ED0">
        <w:rPr>
          <w:rFonts w:ascii="Arial" w:eastAsia="Times New Roman" w:hAnsi="Arial" w:cs="Arial"/>
          <w:sz w:val="24"/>
          <w:szCs w:val="24"/>
          <w:lang w:eastAsia="de-DE"/>
        </w:rPr>
        <w:t>Die</w:t>
      </w:r>
      <w:r w:rsidR="001C0AFA" w:rsidRPr="002B3ED0">
        <w:rPr>
          <w:rFonts w:ascii="Arial" w:eastAsia="Times New Roman" w:hAnsi="Arial" w:cs="Arial"/>
          <w:sz w:val="24"/>
          <w:szCs w:val="24"/>
          <w:lang w:eastAsia="de-DE"/>
        </w:rPr>
        <w:t>se</w:t>
      </w:r>
      <w:r w:rsidR="005009EF" w:rsidRPr="002B3ED0">
        <w:rPr>
          <w:rFonts w:ascii="Arial" w:eastAsia="Times New Roman" w:hAnsi="Arial" w:cs="Arial"/>
          <w:sz w:val="24"/>
          <w:szCs w:val="24"/>
          <w:lang w:eastAsia="de-DE"/>
        </w:rPr>
        <w:t xml:space="preserve"> Entwicklung deutet darauf hin, dass Aktien nicht nur der Investitionsfinanzierung und der langfristigen privaten Vermögensanlage dienen, sondern zunehmend auch zur Finanzspekulation genutzt werden</w:t>
      </w:r>
      <w:r w:rsidRPr="002B3ED0">
        <w:rPr>
          <w:rFonts w:ascii="Arial" w:eastAsia="Times New Roman" w:hAnsi="Arial" w:cs="Arial"/>
          <w:sz w:val="24"/>
          <w:szCs w:val="24"/>
          <w:lang w:eastAsia="de-DE"/>
        </w:rPr>
        <w:t xml:space="preserve">. Die </w:t>
      </w:r>
      <w:r w:rsidR="001C0AFA" w:rsidRPr="002B3ED0">
        <w:rPr>
          <w:rFonts w:ascii="Arial" w:eastAsia="Times New Roman" w:hAnsi="Arial" w:cs="Arial"/>
          <w:sz w:val="24"/>
          <w:szCs w:val="24"/>
          <w:lang w:eastAsia="de-DE"/>
        </w:rPr>
        <w:t>immer höhere Aktivität von spekulativen Anlegern</w:t>
      </w:r>
      <w:r w:rsidRPr="002B3ED0">
        <w:rPr>
          <w:rFonts w:ascii="Arial" w:eastAsia="Times New Roman" w:hAnsi="Arial" w:cs="Arial"/>
          <w:sz w:val="24"/>
          <w:szCs w:val="24"/>
          <w:lang w:eastAsia="de-DE"/>
        </w:rPr>
        <w:t xml:space="preserve"> treibt dabei </w:t>
      </w:r>
      <w:r w:rsidR="001C0AFA" w:rsidRPr="002B3ED0">
        <w:rPr>
          <w:rFonts w:ascii="Arial" w:eastAsia="Times New Roman" w:hAnsi="Arial" w:cs="Arial"/>
          <w:sz w:val="24"/>
          <w:szCs w:val="24"/>
          <w:lang w:eastAsia="de-DE"/>
        </w:rPr>
        <w:t>die Preise weiter in die Höhe.</w:t>
      </w:r>
      <w:r w:rsidR="000E4BC9">
        <w:rPr>
          <w:rFonts w:ascii="Arial" w:eastAsia="Times New Roman" w:hAnsi="Arial" w:cs="Arial"/>
          <w:sz w:val="24"/>
          <w:szCs w:val="24"/>
          <w:lang w:eastAsia="de-DE"/>
        </w:rPr>
        <w:t xml:space="preserve"> A</w:t>
      </w:r>
      <w:bookmarkStart w:id="0" w:name="_GoBack"/>
      <w:bookmarkEnd w:id="0"/>
      <w:r w:rsidRPr="001154AF">
        <w:rPr>
          <w:rFonts w:ascii="Arial" w:eastAsia="Times New Roman" w:hAnsi="Arial" w:cs="Arial"/>
          <w:sz w:val="24"/>
          <w:szCs w:val="24"/>
          <w:lang w:eastAsia="de-DE"/>
        </w:rPr>
        <w:t xml:space="preserve">nders formuliert galt die Aktie in den 1980er- und 1990er-Jahren primär als Investment mit dem Fokus auf Dividenden, die als Hauptbestandteil der Rendite angesehen wurden, während Kursgewinne eher als Bonus betrachtet wurden. Heute hat sich das Bild grundlegend gewandelt: Kursgewinne sind der dominierende Bestandteil der Rendite und treiben ein spekulativeres Marktverhalten mit kürzeren Haltedauern voran. Fundamentaldaten wie das Kurs-Gewinn-Verhältnis oder die Dividendenrendite spielen eine untergeordnete Rolle, da die erwartete Preisentwicklung und Trends den </w:t>
      </w:r>
      <w:r w:rsidRPr="001154AF">
        <w:rPr>
          <w:rFonts w:ascii="Arial" w:eastAsia="Times New Roman" w:hAnsi="Arial" w:cs="Arial"/>
          <w:sz w:val="24"/>
          <w:szCs w:val="24"/>
          <w:lang w:eastAsia="de-DE"/>
        </w:rPr>
        <w:lastRenderedPageBreak/>
        <w:t>Markt bestimmen.</w:t>
      </w:r>
      <w:r w:rsidR="001154AF" w:rsidRPr="001154AF">
        <w:rPr>
          <w:rFonts w:ascii="Arial" w:eastAsia="Times New Roman" w:hAnsi="Arial" w:cs="Arial"/>
          <w:sz w:val="24"/>
          <w:szCs w:val="24"/>
          <w:lang w:eastAsia="de-DE"/>
        </w:rPr>
        <w:t xml:space="preserve"> D</w:t>
      </w:r>
      <w:r w:rsidR="001C0AFA" w:rsidRPr="001154AF">
        <w:rPr>
          <w:rFonts w:ascii="Arial" w:eastAsia="Times New Roman" w:hAnsi="Arial" w:cs="Arial"/>
          <w:sz w:val="24"/>
          <w:szCs w:val="24"/>
          <w:lang w:eastAsia="de-DE"/>
        </w:rPr>
        <w:t xml:space="preserve">ie Wertpapiere werden </w:t>
      </w:r>
      <w:r w:rsidR="00844320">
        <w:rPr>
          <w:rFonts w:ascii="Arial" w:eastAsia="Times New Roman" w:hAnsi="Arial" w:cs="Arial"/>
          <w:sz w:val="24"/>
          <w:szCs w:val="24"/>
          <w:lang w:eastAsia="de-DE"/>
        </w:rPr>
        <w:t xml:space="preserve">heute </w:t>
      </w:r>
      <w:r w:rsidR="001154AF">
        <w:rPr>
          <w:rFonts w:ascii="Arial" w:eastAsia="Times New Roman" w:hAnsi="Arial" w:cs="Arial"/>
          <w:sz w:val="24"/>
          <w:szCs w:val="24"/>
          <w:lang w:eastAsia="de-DE"/>
        </w:rPr>
        <w:t xml:space="preserve">viel </w:t>
      </w:r>
      <w:r w:rsidR="001C0AFA" w:rsidRPr="001154AF">
        <w:rPr>
          <w:rFonts w:ascii="Arial" w:eastAsia="Times New Roman" w:hAnsi="Arial" w:cs="Arial"/>
          <w:sz w:val="24"/>
          <w:szCs w:val="24"/>
          <w:lang w:eastAsia="de-DE"/>
        </w:rPr>
        <w:t xml:space="preserve">schneller </w:t>
      </w:r>
      <w:proofErr w:type="spellStart"/>
      <w:r w:rsidR="001C0AFA" w:rsidRPr="001154AF">
        <w:rPr>
          <w:rFonts w:ascii="Arial" w:eastAsia="Times New Roman" w:hAnsi="Arial" w:cs="Arial"/>
          <w:sz w:val="24"/>
          <w:szCs w:val="24"/>
          <w:lang w:eastAsia="de-DE"/>
        </w:rPr>
        <w:t>ge</w:t>
      </w:r>
      <w:proofErr w:type="spellEnd"/>
      <w:r w:rsidR="001C0AFA" w:rsidRPr="001154AF">
        <w:rPr>
          <w:rFonts w:ascii="Arial" w:eastAsia="Times New Roman" w:hAnsi="Arial" w:cs="Arial"/>
          <w:sz w:val="24"/>
          <w:szCs w:val="24"/>
          <w:lang w:eastAsia="de-DE"/>
        </w:rPr>
        <w:t>- und verkauft</w:t>
      </w:r>
      <w:r w:rsidR="001154AF" w:rsidRPr="001154AF">
        <w:rPr>
          <w:rFonts w:ascii="Arial" w:eastAsia="Times New Roman" w:hAnsi="Arial" w:cs="Arial"/>
          <w:sz w:val="24"/>
          <w:szCs w:val="24"/>
          <w:lang w:eastAsia="de-DE"/>
        </w:rPr>
        <w:t>:</w:t>
      </w:r>
      <w:r w:rsidR="001C0AFA" w:rsidRPr="001154AF">
        <w:rPr>
          <w:rFonts w:ascii="Arial" w:eastAsia="Times New Roman" w:hAnsi="Arial" w:cs="Arial"/>
          <w:sz w:val="24"/>
          <w:szCs w:val="24"/>
          <w:lang w:eastAsia="de-DE"/>
        </w:rPr>
        <w:t xml:space="preserve"> Im Jahr 1980 lag die jährliche Umschlagshäufigkeit bei 0,1 – im Durchschnitt hielten die Käufer von Aktien diese also knapp zehn Jahre in ihrem Besitz. Mit Schwankungen fiel die Haltedauer auf </w:t>
      </w:r>
      <w:r w:rsidR="001154AF" w:rsidRPr="001154AF">
        <w:rPr>
          <w:rFonts w:ascii="Arial" w:eastAsia="Times New Roman" w:hAnsi="Arial" w:cs="Arial"/>
          <w:sz w:val="24"/>
          <w:szCs w:val="24"/>
          <w:lang w:eastAsia="de-DE"/>
        </w:rPr>
        <w:t xml:space="preserve">etwa sieben Monate </w:t>
      </w:r>
      <w:r w:rsidR="001C0AFA" w:rsidRPr="001154AF">
        <w:rPr>
          <w:rFonts w:ascii="Arial" w:eastAsia="Times New Roman" w:hAnsi="Arial" w:cs="Arial"/>
          <w:sz w:val="24"/>
          <w:szCs w:val="24"/>
          <w:lang w:eastAsia="de-DE"/>
        </w:rPr>
        <w:t>seit den 2010er</w:t>
      </w:r>
      <w:r w:rsidR="001154AF" w:rsidRPr="001154AF">
        <w:rPr>
          <w:rFonts w:ascii="Arial" w:eastAsia="Times New Roman" w:hAnsi="Arial" w:cs="Arial"/>
          <w:sz w:val="24"/>
          <w:szCs w:val="24"/>
          <w:lang w:eastAsia="de-DE"/>
        </w:rPr>
        <w:t>-</w:t>
      </w:r>
      <w:r w:rsidR="001C0AFA" w:rsidRPr="001154AF">
        <w:rPr>
          <w:rFonts w:ascii="Arial" w:eastAsia="Times New Roman" w:hAnsi="Arial" w:cs="Arial"/>
          <w:sz w:val="24"/>
          <w:szCs w:val="24"/>
          <w:lang w:eastAsia="de-DE"/>
        </w:rPr>
        <w:t>Jahren.</w:t>
      </w:r>
    </w:p>
    <w:p w14:paraId="4248A037" w14:textId="77777777" w:rsidR="00E109E9" w:rsidRDefault="00E109E9" w:rsidP="001154AF">
      <w:pPr>
        <w:spacing w:after="0" w:line="240" w:lineRule="auto"/>
        <w:rPr>
          <w:rFonts w:ascii="Arial" w:eastAsia="Times New Roman" w:hAnsi="Arial" w:cs="Arial"/>
          <w:sz w:val="24"/>
          <w:szCs w:val="24"/>
          <w:lang w:eastAsia="de-DE"/>
        </w:rPr>
      </w:pPr>
    </w:p>
    <w:p w14:paraId="71D6366D" w14:textId="77777777" w:rsidR="00067CB3" w:rsidRDefault="00E109E9" w:rsidP="001B3897">
      <w:pPr>
        <w:spacing w:after="0" w:line="240" w:lineRule="auto"/>
        <w:rPr>
          <w:rFonts w:ascii="Arial" w:eastAsia="Times New Roman" w:hAnsi="Arial" w:cs="Arial"/>
          <w:sz w:val="24"/>
          <w:szCs w:val="24"/>
          <w:lang w:eastAsia="de-DE"/>
        </w:rPr>
      </w:pPr>
      <w:r w:rsidRPr="001B3897">
        <w:rPr>
          <w:rFonts w:ascii="Arial" w:eastAsia="Times New Roman" w:hAnsi="Arial" w:cs="Arial"/>
          <w:sz w:val="24"/>
          <w:szCs w:val="24"/>
          <w:lang w:eastAsia="de-DE"/>
        </w:rPr>
        <w:t>I</w:t>
      </w:r>
      <w:r w:rsidRPr="00E109E9">
        <w:rPr>
          <w:rFonts w:ascii="Arial" w:eastAsia="Times New Roman" w:hAnsi="Arial" w:cs="Arial"/>
          <w:sz w:val="24"/>
          <w:szCs w:val="24"/>
          <w:lang w:eastAsia="de-DE"/>
        </w:rPr>
        <w:t>n Krisenzeiten nimmt die Umschlagshäufigkeit häufig deutlich zu. Dies gilt insbesondere für die weltweite Finanz- und Wirtschaftskrise 2008/2009, die auf den Finanzmärkten ihren Ausgangspunkt hatte: Von 2007 auf 2008 hat sich die durchschnittliche Umschlagshäufigkeit mehr als verdoppelt. Während der Aktienhandel dabei weiter zunahm (von 104,0 auf 116,1 Billionen US-Dollar), reduzierte sich die Marktkapitalisierung drastisch (von 67,8 auf 35,8 Billionen US-Dollar) – im Krisenjahr 2008 wurden Aktien im Durchschnitt nach nur knapp vier Monaten Haltedauer wieder verkauft.</w:t>
      </w:r>
    </w:p>
    <w:p w14:paraId="1B6D0BF4" w14:textId="77777777" w:rsidR="001B3897" w:rsidRPr="001B3897" w:rsidRDefault="001B3897" w:rsidP="001B3897">
      <w:pPr>
        <w:spacing w:after="0" w:line="240" w:lineRule="auto"/>
        <w:rPr>
          <w:rFonts w:ascii="Arial" w:eastAsia="Times New Roman" w:hAnsi="Arial" w:cs="Arial"/>
          <w:sz w:val="24"/>
          <w:szCs w:val="24"/>
          <w:lang w:eastAsia="de-DE"/>
        </w:rPr>
      </w:pPr>
    </w:p>
    <w:p w14:paraId="3E1EE51F" w14:textId="0B2F10F9" w:rsidR="00E109E9" w:rsidRPr="00E109E9" w:rsidRDefault="00E109E9" w:rsidP="001B3897">
      <w:pPr>
        <w:spacing w:after="0" w:line="240" w:lineRule="auto"/>
        <w:rPr>
          <w:rFonts w:ascii="Arial" w:eastAsia="Times New Roman" w:hAnsi="Arial" w:cs="Arial"/>
          <w:sz w:val="24"/>
          <w:szCs w:val="24"/>
          <w:lang w:eastAsia="de-DE"/>
        </w:rPr>
      </w:pPr>
      <w:r w:rsidRPr="00E109E9">
        <w:rPr>
          <w:rFonts w:ascii="Arial" w:eastAsia="Times New Roman" w:hAnsi="Arial" w:cs="Arial"/>
          <w:sz w:val="24"/>
          <w:szCs w:val="24"/>
          <w:lang w:eastAsia="de-DE"/>
        </w:rPr>
        <w:t xml:space="preserve">Auch </w:t>
      </w:r>
      <w:r w:rsidR="00844320">
        <w:rPr>
          <w:rFonts w:ascii="Arial" w:eastAsia="Times New Roman" w:hAnsi="Arial" w:cs="Arial"/>
          <w:sz w:val="24"/>
          <w:szCs w:val="24"/>
          <w:lang w:eastAsia="de-DE"/>
        </w:rPr>
        <w:t xml:space="preserve">im Zuge der </w:t>
      </w:r>
      <w:r w:rsidRPr="00E109E9">
        <w:rPr>
          <w:rFonts w:ascii="Arial" w:eastAsia="Times New Roman" w:hAnsi="Arial" w:cs="Arial"/>
          <w:sz w:val="24"/>
          <w:szCs w:val="24"/>
          <w:lang w:eastAsia="de-DE"/>
        </w:rPr>
        <w:t xml:space="preserve">Corona-Pandemie </w:t>
      </w:r>
      <w:r w:rsidR="00844320" w:rsidRPr="00E109E9">
        <w:rPr>
          <w:rFonts w:ascii="Arial" w:eastAsia="Times New Roman" w:hAnsi="Arial" w:cs="Arial"/>
          <w:sz w:val="24"/>
          <w:szCs w:val="24"/>
          <w:lang w:eastAsia="de-DE"/>
        </w:rPr>
        <w:t>erhöht</w:t>
      </w:r>
      <w:r w:rsidR="00844320">
        <w:rPr>
          <w:rFonts w:ascii="Arial" w:eastAsia="Times New Roman" w:hAnsi="Arial" w:cs="Arial"/>
          <w:sz w:val="24"/>
          <w:szCs w:val="24"/>
          <w:lang w:eastAsia="de-DE"/>
        </w:rPr>
        <w:t>e</w:t>
      </w:r>
      <w:r w:rsidRPr="00E109E9">
        <w:rPr>
          <w:rFonts w:ascii="Arial" w:eastAsia="Times New Roman" w:hAnsi="Arial" w:cs="Arial"/>
          <w:sz w:val="24"/>
          <w:szCs w:val="24"/>
          <w:lang w:eastAsia="de-DE"/>
        </w:rPr>
        <w:t xml:space="preserve"> </w:t>
      </w:r>
      <w:r w:rsidR="00844320">
        <w:rPr>
          <w:rFonts w:ascii="Arial" w:eastAsia="Times New Roman" w:hAnsi="Arial" w:cs="Arial"/>
          <w:sz w:val="24"/>
          <w:szCs w:val="24"/>
          <w:lang w:eastAsia="de-DE"/>
        </w:rPr>
        <w:t xml:space="preserve">sich </w:t>
      </w:r>
      <w:r w:rsidRPr="00E109E9">
        <w:rPr>
          <w:rFonts w:ascii="Arial" w:eastAsia="Times New Roman" w:hAnsi="Arial" w:cs="Arial"/>
          <w:sz w:val="24"/>
          <w:szCs w:val="24"/>
          <w:lang w:eastAsia="de-DE"/>
        </w:rPr>
        <w:t>die Umschlagshäufigkeit</w:t>
      </w:r>
      <w:r w:rsidR="00067CB3" w:rsidRPr="001B3897">
        <w:rPr>
          <w:rFonts w:ascii="Arial" w:eastAsia="Times New Roman" w:hAnsi="Arial" w:cs="Arial"/>
          <w:sz w:val="24"/>
          <w:szCs w:val="24"/>
          <w:lang w:eastAsia="de-DE"/>
        </w:rPr>
        <w:t xml:space="preserve">, da der </w:t>
      </w:r>
      <w:r w:rsidR="00067CB3" w:rsidRPr="00E109E9">
        <w:rPr>
          <w:rFonts w:ascii="Arial" w:eastAsia="Times New Roman" w:hAnsi="Arial" w:cs="Arial"/>
          <w:sz w:val="24"/>
          <w:szCs w:val="24"/>
          <w:lang w:eastAsia="de-DE"/>
        </w:rPr>
        <w:t>Aktienhandel</w:t>
      </w:r>
      <w:r w:rsidR="00067CB3" w:rsidRPr="001B3897">
        <w:rPr>
          <w:rFonts w:ascii="Arial" w:eastAsia="Times New Roman" w:hAnsi="Arial" w:cs="Arial"/>
          <w:sz w:val="24"/>
          <w:szCs w:val="24"/>
          <w:lang w:eastAsia="de-DE"/>
        </w:rPr>
        <w:t xml:space="preserve"> von </w:t>
      </w:r>
      <w:r w:rsidR="00067CB3" w:rsidRPr="00E109E9">
        <w:rPr>
          <w:rFonts w:ascii="Arial" w:eastAsia="Times New Roman" w:hAnsi="Arial" w:cs="Arial"/>
          <w:sz w:val="24"/>
          <w:szCs w:val="24"/>
          <w:lang w:eastAsia="de-DE"/>
        </w:rPr>
        <w:t xml:space="preserve">2019 auf 2020 deutlich stärker zunahm </w:t>
      </w:r>
      <w:r w:rsidR="00067CB3" w:rsidRPr="001B3897">
        <w:rPr>
          <w:rFonts w:ascii="Arial" w:eastAsia="Times New Roman" w:hAnsi="Arial" w:cs="Arial"/>
          <w:sz w:val="24"/>
          <w:szCs w:val="24"/>
          <w:lang w:eastAsia="de-DE"/>
        </w:rPr>
        <w:t xml:space="preserve">als der </w:t>
      </w:r>
      <w:r w:rsidR="00067CB3" w:rsidRPr="00E109E9">
        <w:rPr>
          <w:rFonts w:ascii="Arial" w:eastAsia="Times New Roman" w:hAnsi="Arial" w:cs="Arial"/>
          <w:sz w:val="24"/>
          <w:szCs w:val="24"/>
          <w:lang w:eastAsia="de-DE"/>
        </w:rPr>
        <w:t xml:space="preserve">Aktienbestand </w:t>
      </w:r>
      <w:r w:rsidR="00067CB3" w:rsidRPr="001B3897">
        <w:rPr>
          <w:rFonts w:ascii="Arial" w:eastAsia="Times New Roman" w:hAnsi="Arial" w:cs="Arial"/>
          <w:sz w:val="24"/>
          <w:szCs w:val="24"/>
          <w:lang w:eastAsia="de-DE"/>
        </w:rPr>
        <w:t>(</w:t>
      </w:r>
      <w:r w:rsidR="00067CB3" w:rsidRPr="00E109E9">
        <w:rPr>
          <w:rFonts w:ascii="Arial" w:eastAsia="Times New Roman" w:hAnsi="Arial" w:cs="Arial"/>
          <w:sz w:val="24"/>
          <w:szCs w:val="24"/>
          <w:lang w:eastAsia="de-DE"/>
        </w:rPr>
        <w:t>47,7</w:t>
      </w:r>
      <w:r w:rsidR="00067CB3" w:rsidRPr="001B3897">
        <w:rPr>
          <w:rFonts w:ascii="Arial" w:eastAsia="Times New Roman" w:hAnsi="Arial" w:cs="Arial"/>
          <w:sz w:val="24"/>
          <w:szCs w:val="24"/>
          <w:lang w:eastAsia="de-DE"/>
        </w:rPr>
        <w:t xml:space="preserve"> gegenüber </w:t>
      </w:r>
      <w:r w:rsidRPr="00E109E9">
        <w:rPr>
          <w:rFonts w:ascii="Arial" w:eastAsia="Times New Roman" w:hAnsi="Arial" w:cs="Arial"/>
          <w:sz w:val="24"/>
          <w:szCs w:val="24"/>
          <w:lang w:eastAsia="de-DE"/>
        </w:rPr>
        <w:t>18,9 Prozent)</w:t>
      </w:r>
      <w:r w:rsidR="00067CB3" w:rsidRPr="001B3897">
        <w:rPr>
          <w:rFonts w:ascii="Arial" w:eastAsia="Times New Roman" w:hAnsi="Arial" w:cs="Arial"/>
          <w:sz w:val="24"/>
          <w:szCs w:val="24"/>
          <w:lang w:eastAsia="de-DE"/>
        </w:rPr>
        <w:t>. D</w:t>
      </w:r>
      <w:r w:rsidRPr="00E109E9">
        <w:rPr>
          <w:rFonts w:ascii="Arial" w:eastAsia="Times New Roman" w:hAnsi="Arial" w:cs="Arial"/>
          <w:sz w:val="24"/>
          <w:szCs w:val="24"/>
          <w:lang w:eastAsia="de-DE"/>
        </w:rPr>
        <w:t xml:space="preserve">ie Umschlagshäufigkeit stieg </w:t>
      </w:r>
      <w:r w:rsidR="001B3897" w:rsidRPr="001B3897">
        <w:rPr>
          <w:rFonts w:ascii="Arial" w:eastAsia="Times New Roman" w:hAnsi="Arial" w:cs="Arial"/>
          <w:sz w:val="24"/>
          <w:szCs w:val="24"/>
          <w:lang w:eastAsia="de-DE"/>
        </w:rPr>
        <w:t xml:space="preserve">dabei </w:t>
      </w:r>
      <w:r w:rsidRPr="00E109E9">
        <w:rPr>
          <w:rFonts w:ascii="Arial" w:eastAsia="Times New Roman" w:hAnsi="Arial" w:cs="Arial"/>
          <w:sz w:val="24"/>
          <w:szCs w:val="24"/>
          <w:lang w:eastAsia="de-DE"/>
        </w:rPr>
        <w:t>von 1,4 auf 1,7. Im Jahr 2022 hat insbesondere der Krieg Russlands gegen die Ukraine die Unsicherheit auf den Aktienmärkten erhöht. Die Umschlagshäufigkeit erreichte mit 2,0 den höchsten Wert seit der Finanzkrise im Jahr 2008 – die durchschnittliche Haltedauer sank 2022 auf sechs Monate bzw. auf den zweitniedrigsten Wert der hier betrachteten Jahre. Im Vergleich zum Vorjahr hat sich der Aktienhandel 2023 etwas beruhigt, die durchschnittliche Haltedauer bewegte sich mit siebeneinhalb Monaten aber immer noch auf einem niedrigen Niveau.</w:t>
      </w:r>
    </w:p>
    <w:p w14:paraId="70A205CF" w14:textId="77777777" w:rsidR="0091212E" w:rsidRDefault="0091212E" w:rsidP="001154AF">
      <w:pPr>
        <w:spacing w:after="0" w:line="240" w:lineRule="auto"/>
        <w:rPr>
          <w:rFonts w:ascii="Arial" w:eastAsia="Times New Roman" w:hAnsi="Arial" w:cs="Arial"/>
          <w:sz w:val="24"/>
          <w:szCs w:val="24"/>
          <w:lang w:eastAsia="de-DE"/>
        </w:rPr>
      </w:pPr>
    </w:p>
    <w:p w14:paraId="68564BB3" w14:textId="77777777" w:rsidR="008070AA" w:rsidRDefault="008070AA" w:rsidP="008070AA">
      <w:pPr>
        <w:spacing w:after="0" w:line="240" w:lineRule="auto"/>
        <w:rPr>
          <w:rFonts w:ascii="Arial" w:eastAsia="Times New Roman" w:hAnsi="Arial" w:cs="Arial"/>
          <w:sz w:val="24"/>
          <w:szCs w:val="24"/>
          <w:lang w:eastAsia="de-DE"/>
        </w:rPr>
      </w:pPr>
      <w:r w:rsidRPr="008070AA">
        <w:rPr>
          <w:rFonts w:ascii="Arial" w:eastAsia="Times New Roman" w:hAnsi="Arial" w:cs="Arial"/>
          <w:sz w:val="24"/>
          <w:szCs w:val="24"/>
          <w:lang w:eastAsia="de-DE"/>
        </w:rPr>
        <w:t>Die im Gesamttrend zunehmend kürzere Haltedauer hängt auch mit der verstärkten Technisierung des Aktienhandels zusammen. Der sogenannte automatisierte bzw. algorithmische Handel hat zu einer deutlichen Beschleunigung des Börsengeschehens geführt, da Computer innerhalb von Millisekunden auf Handelssignale reagieren können. Der automatisierte Handel ist ursprünglich für das Eigenhandelsgeschäft von Banken entwickelt worden, wird heute aber auch insbesondere von Hedge-Fonds und anderen institutionellen Investoren genutzt. Nach Angaben der Deutschen Bundesbank machte der Hochfrequenzhandel (High-</w:t>
      </w:r>
      <w:proofErr w:type="spellStart"/>
      <w:r w:rsidRPr="008070AA">
        <w:rPr>
          <w:rFonts w:ascii="Arial" w:eastAsia="Times New Roman" w:hAnsi="Arial" w:cs="Arial"/>
          <w:sz w:val="24"/>
          <w:szCs w:val="24"/>
          <w:lang w:eastAsia="de-DE"/>
        </w:rPr>
        <w:t>Frequency</w:t>
      </w:r>
      <w:proofErr w:type="spellEnd"/>
      <w:r w:rsidRPr="008070AA">
        <w:rPr>
          <w:rFonts w:ascii="Arial" w:eastAsia="Times New Roman" w:hAnsi="Arial" w:cs="Arial"/>
          <w:sz w:val="24"/>
          <w:szCs w:val="24"/>
          <w:lang w:eastAsia="de-DE"/>
        </w:rPr>
        <w:t xml:space="preserve"> Trading, HFT) als Subkategorie des allgemeinen computerisierten Handels bereits im Jahr 2016 nahezu 50 Prozent der Handelsaktivitäten in den liquidesten Marktsegmenten in den USA und Europa aus.</w:t>
      </w:r>
    </w:p>
    <w:p w14:paraId="7E03A131" w14:textId="77777777" w:rsidR="00162D96" w:rsidRDefault="00162D96" w:rsidP="008070AA">
      <w:pPr>
        <w:spacing w:after="0" w:line="240" w:lineRule="auto"/>
        <w:rPr>
          <w:rFonts w:ascii="Arial" w:eastAsia="Times New Roman" w:hAnsi="Arial" w:cs="Arial"/>
          <w:sz w:val="24"/>
          <w:szCs w:val="24"/>
          <w:lang w:eastAsia="de-DE"/>
        </w:rPr>
      </w:pPr>
    </w:p>
    <w:p w14:paraId="28B03A12" w14:textId="5A5682B8" w:rsidR="00E109E9" w:rsidRDefault="00E52AF7" w:rsidP="008070AA">
      <w:pPr>
        <w:spacing w:after="0" w:line="240" w:lineRule="auto"/>
        <w:rPr>
          <w:rFonts w:ascii="Arial" w:eastAsia="Times New Roman" w:hAnsi="Arial" w:cs="Arial"/>
          <w:sz w:val="24"/>
          <w:szCs w:val="24"/>
          <w:lang w:eastAsia="de-DE"/>
        </w:rPr>
      </w:pPr>
      <w:r w:rsidRPr="008070AA">
        <w:rPr>
          <w:rFonts w:ascii="Arial" w:eastAsia="Times New Roman" w:hAnsi="Arial" w:cs="Arial"/>
          <w:sz w:val="24"/>
          <w:szCs w:val="24"/>
          <w:lang w:eastAsia="de-DE"/>
        </w:rPr>
        <w:t>Der zunehmende Einfluss des Computerhandels auf die Preisbildung birgt ein weiteres Problem: Während Marktpreise traditionell als Indikator für Knappheit und bei Aktien als</w:t>
      </w:r>
      <w:r w:rsidRPr="00E109E9">
        <w:rPr>
          <w:rFonts w:ascii="Arial" w:eastAsia="Times New Roman" w:hAnsi="Arial" w:cs="Arial"/>
          <w:sz w:val="24"/>
          <w:szCs w:val="24"/>
          <w:lang w:eastAsia="de-DE"/>
        </w:rPr>
        <w:t xml:space="preserve"> Ausdruck von Erwartungen bezüglich Gewinnen, Marktchancen und </w:t>
      </w:r>
      <w:r w:rsidR="00844320">
        <w:rPr>
          <w:rFonts w:ascii="Arial" w:eastAsia="Times New Roman" w:hAnsi="Arial" w:cs="Arial"/>
          <w:sz w:val="24"/>
          <w:szCs w:val="24"/>
          <w:lang w:eastAsia="de-DE"/>
        </w:rPr>
        <w:t xml:space="preserve">des </w:t>
      </w:r>
      <w:r w:rsidRPr="00E109E9">
        <w:rPr>
          <w:rFonts w:ascii="Arial" w:eastAsia="Times New Roman" w:hAnsi="Arial" w:cs="Arial"/>
          <w:sz w:val="24"/>
          <w:szCs w:val="24"/>
          <w:lang w:eastAsia="de-DE"/>
        </w:rPr>
        <w:t xml:space="preserve">unternehmerischen </w:t>
      </w:r>
      <w:r w:rsidR="00162D96" w:rsidRPr="00E109E9">
        <w:rPr>
          <w:rFonts w:ascii="Arial" w:eastAsia="Times New Roman" w:hAnsi="Arial" w:cs="Arial"/>
          <w:sz w:val="24"/>
          <w:szCs w:val="24"/>
          <w:lang w:eastAsia="de-DE"/>
        </w:rPr>
        <w:t xml:space="preserve">Handelns </w:t>
      </w:r>
      <w:r w:rsidRPr="00E109E9">
        <w:rPr>
          <w:rFonts w:ascii="Arial" w:eastAsia="Times New Roman" w:hAnsi="Arial" w:cs="Arial"/>
          <w:sz w:val="24"/>
          <w:szCs w:val="24"/>
          <w:lang w:eastAsia="de-DE"/>
        </w:rPr>
        <w:t xml:space="preserve">gelten, dominieren beim Computerhandel Algorithmen, die fast ausschließlich auf Preisbewegungen reagieren. </w:t>
      </w:r>
      <w:r w:rsidR="00881D24">
        <w:rPr>
          <w:rFonts w:ascii="Arial" w:eastAsia="Times New Roman" w:hAnsi="Arial" w:cs="Arial"/>
          <w:sz w:val="24"/>
          <w:szCs w:val="24"/>
          <w:lang w:eastAsia="de-DE"/>
        </w:rPr>
        <w:t xml:space="preserve">Durch die Konzentration auf wenige </w:t>
      </w:r>
      <w:r w:rsidR="00881D24" w:rsidRPr="00E109E9">
        <w:rPr>
          <w:rFonts w:ascii="Arial" w:eastAsia="Times New Roman" w:hAnsi="Arial" w:cs="Arial"/>
          <w:sz w:val="24"/>
          <w:szCs w:val="24"/>
          <w:lang w:eastAsia="de-DE"/>
        </w:rPr>
        <w:t>Information</w:t>
      </w:r>
      <w:r w:rsidR="00881D24">
        <w:rPr>
          <w:rFonts w:ascii="Arial" w:eastAsia="Times New Roman" w:hAnsi="Arial" w:cs="Arial"/>
          <w:sz w:val="24"/>
          <w:szCs w:val="24"/>
          <w:lang w:eastAsia="de-DE"/>
        </w:rPr>
        <w:t>en</w:t>
      </w:r>
      <w:r w:rsidR="00881D24" w:rsidRPr="00E109E9">
        <w:rPr>
          <w:rFonts w:ascii="Arial" w:eastAsia="Times New Roman" w:hAnsi="Arial" w:cs="Arial"/>
          <w:sz w:val="24"/>
          <w:szCs w:val="24"/>
          <w:lang w:eastAsia="de-DE"/>
        </w:rPr>
        <w:t xml:space="preserve"> </w:t>
      </w:r>
      <w:r w:rsidR="00881D24">
        <w:rPr>
          <w:rFonts w:ascii="Arial" w:eastAsia="Times New Roman" w:hAnsi="Arial" w:cs="Arial"/>
          <w:sz w:val="24"/>
          <w:szCs w:val="24"/>
          <w:lang w:eastAsia="de-DE"/>
        </w:rPr>
        <w:t xml:space="preserve">bzw. auf einen sehr kleinen Ausschnitt des Marktes </w:t>
      </w:r>
      <w:r w:rsidR="00881D24" w:rsidRPr="00E109E9">
        <w:rPr>
          <w:rFonts w:ascii="Arial" w:eastAsia="Times New Roman" w:hAnsi="Arial" w:cs="Arial"/>
          <w:sz w:val="24"/>
          <w:szCs w:val="24"/>
          <w:lang w:eastAsia="de-DE"/>
        </w:rPr>
        <w:t xml:space="preserve">verstärken </w:t>
      </w:r>
      <w:r w:rsidR="00881D24">
        <w:rPr>
          <w:rFonts w:ascii="Arial" w:eastAsia="Times New Roman" w:hAnsi="Arial" w:cs="Arial"/>
          <w:sz w:val="24"/>
          <w:szCs w:val="24"/>
          <w:lang w:eastAsia="de-DE"/>
        </w:rPr>
        <w:t>d</w:t>
      </w:r>
      <w:r w:rsidRPr="00E109E9">
        <w:rPr>
          <w:rFonts w:ascii="Arial" w:eastAsia="Times New Roman" w:hAnsi="Arial" w:cs="Arial"/>
          <w:sz w:val="24"/>
          <w:szCs w:val="24"/>
          <w:lang w:eastAsia="de-DE"/>
        </w:rPr>
        <w:t xml:space="preserve">iese automatisierten Systeme oft </w:t>
      </w:r>
      <w:r w:rsidR="00162D96" w:rsidRPr="00E109E9">
        <w:rPr>
          <w:rFonts w:ascii="Arial" w:eastAsia="Times New Roman" w:hAnsi="Arial" w:cs="Arial"/>
          <w:sz w:val="24"/>
          <w:szCs w:val="24"/>
          <w:lang w:eastAsia="de-DE"/>
        </w:rPr>
        <w:t>irrationale Kursentwicklungen</w:t>
      </w:r>
      <w:r w:rsidRPr="00E109E9">
        <w:rPr>
          <w:rFonts w:ascii="Arial" w:eastAsia="Times New Roman" w:hAnsi="Arial" w:cs="Arial"/>
          <w:sz w:val="24"/>
          <w:szCs w:val="24"/>
          <w:lang w:eastAsia="de-DE"/>
        </w:rPr>
        <w:t xml:space="preserve">, da sie selbstreferenziell agieren und Marktbewegungen durch Herdeneffekte und chaotische Muster zusätzlich verzerren. Anstatt die Marktpreise </w:t>
      </w:r>
      <w:r w:rsidR="00881D24">
        <w:rPr>
          <w:rFonts w:ascii="Arial" w:eastAsia="Times New Roman" w:hAnsi="Arial" w:cs="Arial"/>
          <w:sz w:val="24"/>
          <w:szCs w:val="24"/>
          <w:lang w:eastAsia="de-DE"/>
        </w:rPr>
        <w:t>auf der Basis f</w:t>
      </w:r>
      <w:r w:rsidRPr="00E109E9">
        <w:rPr>
          <w:rFonts w:ascii="Arial" w:eastAsia="Times New Roman" w:hAnsi="Arial" w:cs="Arial"/>
          <w:sz w:val="24"/>
          <w:szCs w:val="24"/>
          <w:lang w:eastAsia="de-DE"/>
        </w:rPr>
        <w:t>undierte</w:t>
      </w:r>
      <w:r w:rsidR="00881D24">
        <w:rPr>
          <w:rFonts w:ascii="Arial" w:eastAsia="Times New Roman" w:hAnsi="Arial" w:cs="Arial"/>
          <w:sz w:val="24"/>
          <w:szCs w:val="24"/>
          <w:lang w:eastAsia="de-DE"/>
        </w:rPr>
        <w:t>r</w:t>
      </w:r>
      <w:r w:rsidRPr="00E109E9">
        <w:rPr>
          <w:rFonts w:ascii="Arial" w:eastAsia="Times New Roman" w:hAnsi="Arial" w:cs="Arial"/>
          <w:sz w:val="24"/>
          <w:szCs w:val="24"/>
          <w:lang w:eastAsia="de-DE"/>
        </w:rPr>
        <w:t xml:space="preserve"> Erwartungen zu reflektieren, führt dies zu einer stärkeren Volatilität und einer potenziellen Entkopplung von den wirtschaftlichen Fundamentaldaten.</w:t>
      </w:r>
    </w:p>
    <w:p w14:paraId="7DCE0AE8" w14:textId="77777777" w:rsidR="000E4BC9" w:rsidRDefault="000E4BC9" w:rsidP="008070AA">
      <w:pPr>
        <w:spacing w:after="0" w:line="240" w:lineRule="auto"/>
        <w:rPr>
          <w:rFonts w:ascii="Arial" w:eastAsia="Times New Roman" w:hAnsi="Arial" w:cs="Arial"/>
          <w:sz w:val="24"/>
          <w:szCs w:val="24"/>
          <w:lang w:eastAsia="de-DE"/>
        </w:rPr>
      </w:pPr>
    </w:p>
    <w:p w14:paraId="3534F1B5" w14:textId="77777777" w:rsidR="000E4BC9" w:rsidRPr="000E4BC9" w:rsidRDefault="000E4BC9" w:rsidP="000E4BC9">
      <w:pPr>
        <w:spacing w:after="0"/>
        <w:rPr>
          <w:rFonts w:ascii="Arial" w:hAnsi="Arial" w:cs="Arial"/>
          <w:color w:val="FF0000"/>
          <w:sz w:val="24"/>
          <w:szCs w:val="24"/>
        </w:rPr>
      </w:pPr>
      <w:r w:rsidRPr="000E4BC9">
        <w:rPr>
          <w:rFonts w:ascii="Arial" w:hAnsi="Arial" w:cs="Arial"/>
          <w:color w:val="FF0000"/>
          <w:sz w:val="24"/>
          <w:szCs w:val="24"/>
        </w:rPr>
        <w:t>Datenquelle</w:t>
      </w:r>
    </w:p>
    <w:p w14:paraId="4B296ADE" w14:textId="77777777" w:rsidR="000E4BC9" w:rsidRPr="000E4BC9" w:rsidRDefault="000E4BC9" w:rsidP="000E4BC9">
      <w:pPr>
        <w:spacing w:after="0" w:line="240" w:lineRule="auto"/>
        <w:rPr>
          <w:rFonts w:ascii="Arial" w:eastAsia="Times New Roman" w:hAnsi="Arial" w:cs="Arial"/>
          <w:sz w:val="24"/>
          <w:szCs w:val="24"/>
          <w:lang w:eastAsia="de-DE"/>
        </w:rPr>
      </w:pPr>
    </w:p>
    <w:p w14:paraId="0EF5B6BF" w14:textId="77777777" w:rsidR="000E4BC9" w:rsidRPr="000E4BC9" w:rsidRDefault="000E4BC9" w:rsidP="000E4BC9">
      <w:pPr>
        <w:spacing w:after="0" w:line="240" w:lineRule="auto"/>
        <w:rPr>
          <w:rFonts w:ascii="Arial" w:eastAsia="Times New Roman" w:hAnsi="Arial" w:cs="Arial"/>
          <w:sz w:val="24"/>
          <w:szCs w:val="24"/>
          <w:lang w:eastAsia="de-DE"/>
        </w:rPr>
      </w:pPr>
      <w:r w:rsidRPr="000E4BC9">
        <w:rPr>
          <w:rFonts w:ascii="Arial" w:eastAsia="Times New Roman" w:hAnsi="Arial" w:cs="Arial"/>
          <w:sz w:val="24"/>
          <w:szCs w:val="24"/>
          <w:lang w:eastAsia="de-DE"/>
        </w:rPr>
        <w:lastRenderedPageBreak/>
        <w:t xml:space="preserve">World </w:t>
      </w:r>
      <w:proofErr w:type="spellStart"/>
      <w:r w:rsidRPr="000E4BC9">
        <w:rPr>
          <w:rFonts w:ascii="Arial" w:eastAsia="Times New Roman" w:hAnsi="Arial" w:cs="Arial"/>
          <w:sz w:val="24"/>
          <w:szCs w:val="24"/>
          <w:lang w:eastAsia="de-DE"/>
        </w:rPr>
        <w:t>Federation</w:t>
      </w:r>
      <w:proofErr w:type="spellEnd"/>
      <w:r w:rsidRPr="000E4BC9">
        <w:rPr>
          <w:rFonts w:ascii="Arial" w:eastAsia="Times New Roman" w:hAnsi="Arial" w:cs="Arial"/>
          <w:sz w:val="24"/>
          <w:szCs w:val="24"/>
          <w:lang w:eastAsia="de-DE"/>
        </w:rPr>
        <w:t xml:space="preserve"> </w:t>
      </w:r>
      <w:proofErr w:type="spellStart"/>
      <w:r w:rsidRPr="000E4BC9">
        <w:rPr>
          <w:rFonts w:ascii="Arial" w:eastAsia="Times New Roman" w:hAnsi="Arial" w:cs="Arial"/>
          <w:sz w:val="24"/>
          <w:szCs w:val="24"/>
          <w:lang w:eastAsia="de-DE"/>
        </w:rPr>
        <w:t>of</w:t>
      </w:r>
      <w:proofErr w:type="spellEnd"/>
      <w:r w:rsidRPr="000E4BC9">
        <w:rPr>
          <w:rFonts w:ascii="Arial" w:eastAsia="Times New Roman" w:hAnsi="Arial" w:cs="Arial"/>
          <w:sz w:val="24"/>
          <w:szCs w:val="24"/>
          <w:lang w:eastAsia="de-DE"/>
        </w:rPr>
        <w:t xml:space="preserve"> </w:t>
      </w:r>
      <w:proofErr w:type="spellStart"/>
      <w:r w:rsidRPr="000E4BC9">
        <w:rPr>
          <w:rFonts w:ascii="Arial" w:eastAsia="Times New Roman" w:hAnsi="Arial" w:cs="Arial"/>
          <w:sz w:val="24"/>
          <w:szCs w:val="24"/>
          <w:lang w:eastAsia="de-DE"/>
        </w:rPr>
        <w:t>Exchanges</w:t>
      </w:r>
      <w:proofErr w:type="spellEnd"/>
      <w:r w:rsidRPr="000E4BC9">
        <w:rPr>
          <w:rFonts w:ascii="Arial" w:eastAsia="Times New Roman" w:hAnsi="Arial" w:cs="Arial"/>
          <w:sz w:val="24"/>
          <w:szCs w:val="24"/>
          <w:lang w:eastAsia="de-DE"/>
        </w:rPr>
        <w:t xml:space="preserve"> (WFE): www.world-exchanges.org: </w:t>
      </w:r>
      <w:proofErr w:type="spellStart"/>
      <w:r w:rsidRPr="000E4BC9">
        <w:rPr>
          <w:rFonts w:ascii="Arial" w:eastAsia="Times New Roman" w:hAnsi="Arial" w:cs="Arial"/>
          <w:sz w:val="24"/>
          <w:szCs w:val="24"/>
          <w:lang w:eastAsia="de-DE"/>
        </w:rPr>
        <w:t>Statistics</w:t>
      </w:r>
      <w:proofErr w:type="spellEnd"/>
      <w:r w:rsidRPr="000E4BC9">
        <w:rPr>
          <w:rFonts w:ascii="Arial" w:eastAsia="Times New Roman" w:hAnsi="Arial" w:cs="Arial"/>
          <w:sz w:val="24"/>
          <w:szCs w:val="24"/>
          <w:lang w:eastAsia="de-DE"/>
        </w:rPr>
        <w:t xml:space="preserve"> Portal, Annual </w:t>
      </w:r>
      <w:proofErr w:type="spellStart"/>
      <w:r w:rsidRPr="000E4BC9">
        <w:rPr>
          <w:rFonts w:ascii="Arial" w:eastAsia="Times New Roman" w:hAnsi="Arial" w:cs="Arial"/>
          <w:sz w:val="24"/>
          <w:szCs w:val="24"/>
          <w:lang w:eastAsia="de-DE"/>
        </w:rPr>
        <w:t>Statistics</w:t>
      </w:r>
      <w:proofErr w:type="spellEnd"/>
      <w:r w:rsidRPr="000E4BC9">
        <w:rPr>
          <w:rFonts w:ascii="Arial" w:eastAsia="Times New Roman" w:hAnsi="Arial" w:cs="Arial"/>
          <w:sz w:val="24"/>
          <w:szCs w:val="24"/>
          <w:lang w:eastAsia="de-DE"/>
        </w:rPr>
        <w:t xml:space="preserve"> Reports; Deutsche Bundesbank: Monatsbericht Oktober 2016</w:t>
      </w:r>
    </w:p>
    <w:p w14:paraId="0C88BCAA" w14:textId="77777777" w:rsidR="00E109E9" w:rsidRDefault="00E109E9" w:rsidP="008070AA">
      <w:pPr>
        <w:spacing w:after="0" w:line="240" w:lineRule="auto"/>
        <w:rPr>
          <w:rFonts w:ascii="Arial" w:eastAsia="Times New Roman" w:hAnsi="Arial" w:cs="Arial"/>
          <w:sz w:val="24"/>
          <w:szCs w:val="24"/>
          <w:lang w:eastAsia="de-DE"/>
        </w:rPr>
      </w:pPr>
    </w:p>
    <w:p w14:paraId="4682FFF1" w14:textId="77777777" w:rsidR="004042D4" w:rsidRPr="009E5564" w:rsidRDefault="004042D4" w:rsidP="009E5564">
      <w:pPr>
        <w:spacing w:after="0"/>
        <w:rPr>
          <w:rFonts w:ascii="Arial" w:hAnsi="Arial" w:cs="Arial"/>
          <w:color w:val="FF0000"/>
          <w:sz w:val="24"/>
          <w:szCs w:val="24"/>
        </w:rPr>
      </w:pPr>
      <w:r w:rsidRPr="009E5564">
        <w:rPr>
          <w:rFonts w:ascii="Arial" w:hAnsi="Arial" w:cs="Arial"/>
          <w:color w:val="FF0000"/>
          <w:sz w:val="24"/>
          <w:szCs w:val="24"/>
        </w:rPr>
        <w:t>Begriffe, methodische Anmerkungen oder Lesehilfen</w:t>
      </w:r>
    </w:p>
    <w:p w14:paraId="3D82CA29" w14:textId="77777777" w:rsidR="009E5564" w:rsidRDefault="009E5564" w:rsidP="009E5564">
      <w:pPr>
        <w:spacing w:after="0" w:line="240" w:lineRule="auto"/>
        <w:rPr>
          <w:rFonts w:ascii="Arial" w:eastAsia="Times New Roman" w:hAnsi="Arial" w:cs="Arial"/>
          <w:sz w:val="24"/>
          <w:szCs w:val="24"/>
          <w:lang w:eastAsia="de-DE"/>
        </w:rPr>
      </w:pPr>
    </w:p>
    <w:p w14:paraId="2AA18DA7" w14:textId="77777777" w:rsidR="001C4A93" w:rsidRDefault="001C4A93" w:rsidP="009E5564">
      <w:pPr>
        <w:spacing w:after="0" w:line="240" w:lineRule="auto"/>
        <w:rPr>
          <w:rFonts w:ascii="Arial" w:eastAsia="Times New Roman" w:hAnsi="Arial" w:cs="Arial"/>
          <w:sz w:val="24"/>
          <w:szCs w:val="24"/>
          <w:lang w:eastAsia="de-DE"/>
        </w:rPr>
      </w:pPr>
      <w:r w:rsidRPr="009E5564">
        <w:rPr>
          <w:rFonts w:ascii="Arial" w:eastAsia="Times New Roman" w:hAnsi="Arial" w:cs="Arial"/>
          <w:sz w:val="24"/>
          <w:szCs w:val="24"/>
          <w:lang w:eastAsia="de-DE"/>
        </w:rPr>
        <w:t xml:space="preserve">Die Darstellung und die Angaben im Text beziehen sich auf die Börsen, die Mitglieder des </w:t>
      </w:r>
      <w:r w:rsidRPr="009E5564">
        <w:rPr>
          <w:rFonts w:ascii="Arial" w:eastAsia="Times New Roman" w:hAnsi="Arial" w:cs="Arial"/>
          <w:b/>
          <w:bCs/>
          <w:sz w:val="24"/>
          <w:szCs w:val="24"/>
          <w:lang w:eastAsia="de-DE"/>
        </w:rPr>
        <w:t xml:space="preserve">World </w:t>
      </w:r>
      <w:proofErr w:type="spellStart"/>
      <w:r w:rsidRPr="009E5564">
        <w:rPr>
          <w:rFonts w:ascii="Arial" w:eastAsia="Times New Roman" w:hAnsi="Arial" w:cs="Arial"/>
          <w:b/>
          <w:bCs/>
          <w:sz w:val="24"/>
          <w:szCs w:val="24"/>
          <w:lang w:eastAsia="de-DE"/>
        </w:rPr>
        <w:t>Federation</w:t>
      </w:r>
      <w:proofErr w:type="spellEnd"/>
      <w:r w:rsidRPr="009E5564">
        <w:rPr>
          <w:rFonts w:ascii="Arial" w:eastAsia="Times New Roman" w:hAnsi="Arial" w:cs="Arial"/>
          <w:b/>
          <w:bCs/>
          <w:sz w:val="24"/>
          <w:szCs w:val="24"/>
          <w:lang w:eastAsia="de-DE"/>
        </w:rPr>
        <w:t xml:space="preserve"> </w:t>
      </w:r>
      <w:proofErr w:type="spellStart"/>
      <w:r w:rsidRPr="009E5564">
        <w:rPr>
          <w:rFonts w:ascii="Arial" w:eastAsia="Times New Roman" w:hAnsi="Arial" w:cs="Arial"/>
          <w:b/>
          <w:bCs/>
          <w:sz w:val="24"/>
          <w:szCs w:val="24"/>
          <w:lang w:eastAsia="de-DE"/>
        </w:rPr>
        <w:t>of</w:t>
      </w:r>
      <w:proofErr w:type="spellEnd"/>
      <w:r w:rsidRPr="009E5564">
        <w:rPr>
          <w:rFonts w:ascii="Arial" w:eastAsia="Times New Roman" w:hAnsi="Arial" w:cs="Arial"/>
          <w:b/>
          <w:bCs/>
          <w:sz w:val="24"/>
          <w:szCs w:val="24"/>
          <w:lang w:eastAsia="de-DE"/>
        </w:rPr>
        <w:t xml:space="preserve"> </w:t>
      </w:r>
      <w:proofErr w:type="spellStart"/>
      <w:r w:rsidRPr="009E5564">
        <w:rPr>
          <w:rFonts w:ascii="Arial" w:eastAsia="Times New Roman" w:hAnsi="Arial" w:cs="Arial"/>
          <w:b/>
          <w:bCs/>
          <w:sz w:val="24"/>
          <w:szCs w:val="24"/>
          <w:lang w:eastAsia="de-DE"/>
        </w:rPr>
        <w:t>Exchanges</w:t>
      </w:r>
      <w:proofErr w:type="spellEnd"/>
      <w:r w:rsidRPr="009E5564">
        <w:rPr>
          <w:rFonts w:ascii="Arial" w:eastAsia="Times New Roman" w:hAnsi="Arial" w:cs="Arial"/>
          <w:b/>
          <w:bCs/>
          <w:sz w:val="24"/>
          <w:szCs w:val="24"/>
          <w:lang w:eastAsia="de-DE"/>
        </w:rPr>
        <w:t xml:space="preserve"> (WFE)</w:t>
      </w:r>
      <w:r w:rsidRPr="009E5564">
        <w:rPr>
          <w:rFonts w:ascii="Arial" w:eastAsia="Times New Roman" w:hAnsi="Arial" w:cs="Arial"/>
          <w:sz w:val="24"/>
          <w:szCs w:val="24"/>
          <w:lang w:eastAsia="de-DE"/>
        </w:rPr>
        <w:t xml:space="preserve"> sind. Der WFE ist der weltweit größte Börsenverband. Der direkte Verkauf von Aktienpaketen ohne Zwischenschaltung einer Börse ist nicht erfasst. Der </w:t>
      </w:r>
      <w:r w:rsidRPr="009E5564">
        <w:rPr>
          <w:rFonts w:ascii="Arial" w:eastAsia="Times New Roman" w:hAnsi="Arial" w:cs="Arial"/>
          <w:b/>
          <w:bCs/>
          <w:sz w:val="24"/>
          <w:szCs w:val="24"/>
          <w:lang w:eastAsia="de-DE"/>
        </w:rPr>
        <w:t>Aktienbestand</w:t>
      </w:r>
      <w:r w:rsidRPr="009E5564">
        <w:rPr>
          <w:rFonts w:ascii="Arial" w:eastAsia="Times New Roman" w:hAnsi="Arial" w:cs="Arial"/>
          <w:sz w:val="24"/>
          <w:szCs w:val="24"/>
          <w:lang w:eastAsia="de-DE"/>
        </w:rPr>
        <w:t xml:space="preserve"> wird durch die Marktkapitalisierung ausgedrückt. Sie gibt hier die mit den jeweiligen Kursen bewertete Zahl der Aktien an (bis einschließlich 2002: Marktkapitalisierung am Jahresende; ab 2003: Jahresdaten nach Angaben des WFE). Im Unterschied zu dieser Bestandsgröße ist der </w:t>
      </w:r>
      <w:r w:rsidRPr="009E5564">
        <w:rPr>
          <w:rFonts w:ascii="Arial" w:eastAsia="Times New Roman" w:hAnsi="Arial" w:cs="Arial"/>
          <w:b/>
          <w:bCs/>
          <w:sz w:val="24"/>
          <w:szCs w:val="24"/>
          <w:lang w:eastAsia="de-DE"/>
        </w:rPr>
        <w:t>Aktienhandel</w:t>
      </w:r>
      <w:r w:rsidRPr="009E5564">
        <w:rPr>
          <w:rFonts w:ascii="Arial" w:eastAsia="Times New Roman" w:hAnsi="Arial" w:cs="Arial"/>
          <w:sz w:val="24"/>
          <w:szCs w:val="24"/>
          <w:lang w:eastAsia="de-DE"/>
        </w:rPr>
        <w:t xml:space="preserve"> eine Stromgröße, die den gesamten Aktienumsatz während des jeweiligen Jahres misst.</w:t>
      </w:r>
    </w:p>
    <w:p w14:paraId="71C2D951" w14:textId="77777777" w:rsidR="00701521" w:rsidRDefault="00701521" w:rsidP="009E5564">
      <w:pPr>
        <w:spacing w:after="0" w:line="240" w:lineRule="auto"/>
        <w:rPr>
          <w:rFonts w:ascii="Arial" w:eastAsia="Times New Roman" w:hAnsi="Arial" w:cs="Arial"/>
          <w:sz w:val="24"/>
          <w:szCs w:val="24"/>
          <w:lang w:eastAsia="de-DE"/>
        </w:rPr>
      </w:pPr>
    </w:p>
    <w:p w14:paraId="12C415FD" w14:textId="77777777" w:rsidR="001C4A93" w:rsidRDefault="001C4A93" w:rsidP="009E5564">
      <w:pPr>
        <w:spacing w:after="0" w:line="240" w:lineRule="auto"/>
        <w:rPr>
          <w:rFonts w:ascii="Arial" w:eastAsia="Times New Roman" w:hAnsi="Arial" w:cs="Arial"/>
          <w:sz w:val="24"/>
          <w:szCs w:val="24"/>
          <w:lang w:eastAsia="de-DE"/>
        </w:rPr>
      </w:pPr>
      <w:r w:rsidRPr="009E5564">
        <w:rPr>
          <w:rFonts w:ascii="Arial" w:eastAsia="Times New Roman" w:hAnsi="Arial" w:cs="Arial"/>
          <w:sz w:val="24"/>
          <w:szCs w:val="24"/>
          <w:lang w:eastAsia="de-DE"/>
        </w:rPr>
        <w:t xml:space="preserve">Die </w:t>
      </w:r>
      <w:r w:rsidRPr="009E5564">
        <w:rPr>
          <w:rFonts w:ascii="Arial" w:eastAsia="Times New Roman" w:hAnsi="Arial" w:cs="Arial"/>
          <w:b/>
          <w:bCs/>
          <w:sz w:val="24"/>
          <w:szCs w:val="24"/>
          <w:lang w:eastAsia="de-DE"/>
        </w:rPr>
        <w:t>Umschlagshäufigkeit</w:t>
      </w:r>
      <w:r w:rsidRPr="009E5564">
        <w:rPr>
          <w:rFonts w:ascii="Arial" w:eastAsia="Times New Roman" w:hAnsi="Arial" w:cs="Arial"/>
          <w:sz w:val="24"/>
          <w:szCs w:val="24"/>
          <w:lang w:eastAsia="de-DE"/>
        </w:rPr>
        <w:t xml:space="preserve"> ist der Quotient aus Handel und Bestand und gibt an, wie oft der Aktienbestand im Durchschnitt des Jahres die Besitzer gewechselt hat.</w:t>
      </w:r>
    </w:p>
    <w:p w14:paraId="671E914D" w14:textId="77777777" w:rsidR="00B46365" w:rsidRDefault="00B46365" w:rsidP="009E5564">
      <w:pPr>
        <w:spacing w:after="0" w:line="240" w:lineRule="auto"/>
        <w:rPr>
          <w:rFonts w:ascii="Arial" w:eastAsia="Times New Roman" w:hAnsi="Arial" w:cs="Arial"/>
          <w:sz w:val="24"/>
          <w:szCs w:val="24"/>
          <w:lang w:eastAsia="de-DE"/>
        </w:rPr>
      </w:pPr>
    </w:p>
    <w:p w14:paraId="4A30FCF0" w14:textId="77777777" w:rsidR="00B46365" w:rsidRPr="00742BB3" w:rsidRDefault="00B46365" w:rsidP="00B46365">
      <w:pPr>
        <w:pStyle w:val="StandardWeb"/>
        <w:tabs>
          <w:tab w:val="left" w:pos="1046"/>
        </w:tabs>
        <w:spacing w:before="0" w:beforeAutospacing="0" w:after="0" w:afterAutospacing="0"/>
        <w:rPr>
          <w:rFonts w:ascii="Arial" w:hAnsi="Arial"/>
          <w:sz w:val="20"/>
          <w:szCs w:val="20"/>
        </w:rPr>
      </w:pPr>
      <w:r w:rsidRPr="00742BB3">
        <w:rPr>
          <w:rFonts w:ascii="Arial" w:hAnsi="Arial"/>
          <w:sz w:val="20"/>
          <w:szCs w:val="20"/>
        </w:rPr>
        <w:t xml:space="preserve">Dieser Text ist unter der Creative </w:t>
      </w:r>
      <w:proofErr w:type="spellStart"/>
      <w:r w:rsidRPr="00742BB3">
        <w:rPr>
          <w:rFonts w:ascii="Arial" w:hAnsi="Arial"/>
          <w:sz w:val="20"/>
          <w:szCs w:val="20"/>
        </w:rPr>
        <w:t>Commons</w:t>
      </w:r>
      <w:proofErr w:type="spellEnd"/>
      <w:r w:rsidRPr="00742BB3">
        <w:rPr>
          <w:rFonts w:ascii="Arial" w:hAnsi="Arial"/>
          <w:sz w:val="20"/>
          <w:szCs w:val="20"/>
        </w:rPr>
        <w:t xml:space="preserve"> Lizenz CC BY-NC-ND 4.0 veröffentlicht.</w:t>
      </w:r>
    </w:p>
    <w:p w14:paraId="1AB91A41" w14:textId="2EF85F1C" w:rsidR="00B46365" w:rsidRPr="00B46365" w:rsidRDefault="00B46365" w:rsidP="00B46365">
      <w:pPr>
        <w:pStyle w:val="StandardWeb"/>
        <w:tabs>
          <w:tab w:val="left" w:pos="1046"/>
        </w:tabs>
        <w:spacing w:before="0" w:beforeAutospacing="0" w:after="0" w:afterAutospacing="0"/>
        <w:rPr>
          <w:rFonts w:ascii="Arial" w:hAnsi="Arial"/>
          <w:sz w:val="20"/>
          <w:szCs w:val="20"/>
        </w:rPr>
      </w:pPr>
      <w:r w:rsidRPr="00742BB3">
        <w:rPr>
          <w:rFonts w:ascii="Arial" w:hAnsi="Arial"/>
          <w:sz w:val="20"/>
          <w:szCs w:val="20"/>
        </w:rPr>
        <w:t>Bundeszentrale für politische Bildung 202</w:t>
      </w:r>
      <w:r w:rsidR="005040CD">
        <w:rPr>
          <w:rFonts w:ascii="Arial" w:hAnsi="Arial"/>
          <w:sz w:val="20"/>
          <w:szCs w:val="20"/>
        </w:rPr>
        <w:t>5</w:t>
      </w:r>
      <w:r>
        <w:rPr>
          <w:rFonts w:ascii="Arial" w:hAnsi="Arial"/>
          <w:sz w:val="20"/>
          <w:szCs w:val="20"/>
        </w:rPr>
        <w:t xml:space="preserve"> | www.bpb.de</w:t>
      </w:r>
    </w:p>
    <w:sectPr w:rsidR="00B46365" w:rsidRPr="00B46365">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5550402" w16cex:dateUtc="2024-12-04T10:51:00Z"/>
  <w16cex:commentExtensible w16cex:durableId="0618FF24" w16cex:dateUtc="2024-12-04T10:56:00Z"/>
  <w16cex:commentExtensible w16cex:durableId="0812D1BD" w16cex:dateUtc="2024-12-04T10:57:00Z"/>
  <w16cex:commentExtensible w16cex:durableId="7EAFA0B7" w16cex:dateUtc="2024-12-04T10:57:00Z"/>
  <w16cex:commentExtensible w16cex:durableId="7A8E9CB8" w16cex:dateUtc="2024-12-04T10:58:00Z"/>
  <w16cex:commentExtensible w16cex:durableId="4FA686ED" w16cex:dateUtc="2024-12-04T10: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11659FF" w16cid:durableId="75550402"/>
  <w16cid:commentId w16cid:paraId="5B5332CB" w16cid:durableId="0618FF24"/>
  <w16cid:commentId w16cid:paraId="513DFFFA" w16cid:durableId="0812D1BD"/>
  <w16cid:commentId w16cid:paraId="3B7C3455" w16cid:durableId="7EAFA0B7"/>
  <w16cid:commentId w16cid:paraId="79FFD586" w16cid:durableId="7A8E9CB8"/>
  <w16cid:commentId w16cid:paraId="09138C43" w16cid:durableId="4FA686E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CDFAA6" w14:textId="77777777" w:rsidR="002C255F" w:rsidRDefault="002C255F" w:rsidP="00F2635C">
      <w:pPr>
        <w:spacing w:after="0" w:line="240" w:lineRule="auto"/>
      </w:pPr>
      <w:r>
        <w:separator/>
      </w:r>
    </w:p>
  </w:endnote>
  <w:endnote w:type="continuationSeparator" w:id="0">
    <w:p w14:paraId="2C1636FD" w14:textId="77777777" w:rsidR="002C255F" w:rsidRDefault="002C255F" w:rsidP="00F263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CB5764" w14:textId="77777777" w:rsidR="00F2635C" w:rsidRDefault="00F2635C">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77490C" w14:textId="77777777" w:rsidR="00F2635C" w:rsidRDefault="00F2635C">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D35A77" w14:textId="77777777" w:rsidR="00F2635C" w:rsidRDefault="00F2635C">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738037" w14:textId="77777777" w:rsidR="002C255F" w:rsidRDefault="002C255F" w:rsidP="00F2635C">
      <w:pPr>
        <w:spacing w:after="0" w:line="240" w:lineRule="auto"/>
      </w:pPr>
      <w:r>
        <w:separator/>
      </w:r>
    </w:p>
  </w:footnote>
  <w:footnote w:type="continuationSeparator" w:id="0">
    <w:p w14:paraId="37A56B7C" w14:textId="77777777" w:rsidR="002C255F" w:rsidRDefault="002C255F" w:rsidP="00F263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95BA99" w14:textId="77777777" w:rsidR="00F2635C" w:rsidRDefault="00F2635C">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CD00D8" w14:textId="77777777" w:rsidR="00F2635C" w:rsidRDefault="00F2635C">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2F94DE" w14:textId="77777777" w:rsidR="00F2635C" w:rsidRDefault="00F2635C">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74134"/>
    <w:multiLevelType w:val="multilevel"/>
    <w:tmpl w:val="5360F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957C16"/>
    <w:multiLevelType w:val="multilevel"/>
    <w:tmpl w:val="55D2C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9E172B"/>
    <w:multiLevelType w:val="multilevel"/>
    <w:tmpl w:val="F6ACA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5A30B46"/>
    <w:multiLevelType w:val="hybridMultilevel"/>
    <w:tmpl w:val="352C502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341C44B0"/>
    <w:multiLevelType w:val="multilevel"/>
    <w:tmpl w:val="B0A8B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9356C3D"/>
    <w:multiLevelType w:val="multilevel"/>
    <w:tmpl w:val="4BD8358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3293EEB"/>
    <w:multiLevelType w:val="multilevel"/>
    <w:tmpl w:val="F8EE45C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64163E9"/>
    <w:multiLevelType w:val="multilevel"/>
    <w:tmpl w:val="7E7CC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8302DD6"/>
    <w:multiLevelType w:val="multilevel"/>
    <w:tmpl w:val="42B0D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7"/>
  </w:num>
  <w:num w:numId="3">
    <w:abstractNumId w:val="8"/>
  </w:num>
  <w:num w:numId="4">
    <w:abstractNumId w:val="5"/>
  </w:num>
  <w:num w:numId="5">
    <w:abstractNumId w:val="2"/>
  </w:num>
  <w:num w:numId="6">
    <w:abstractNumId w:val="6"/>
  </w:num>
  <w:num w:numId="7">
    <w:abstractNumId w:val="0"/>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4A4"/>
    <w:rsid w:val="0005273B"/>
    <w:rsid w:val="00067CB3"/>
    <w:rsid w:val="000C0AC2"/>
    <w:rsid w:val="000E4BC9"/>
    <w:rsid w:val="001154AF"/>
    <w:rsid w:val="00162D96"/>
    <w:rsid w:val="00163CFB"/>
    <w:rsid w:val="001B3897"/>
    <w:rsid w:val="001C0AFA"/>
    <w:rsid w:val="001C4A93"/>
    <w:rsid w:val="001D42C2"/>
    <w:rsid w:val="001E3701"/>
    <w:rsid w:val="00215F21"/>
    <w:rsid w:val="002B3ED0"/>
    <w:rsid w:val="002C255F"/>
    <w:rsid w:val="002F2395"/>
    <w:rsid w:val="003004A4"/>
    <w:rsid w:val="00313546"/>
    <w:rsid w:val="00385875"/>
    <w:rsid w:val="003B53A6"/>
    <w:rsid w:val="003E68D5"/>
    <w:rsid w:val="004042D4"/>
    <w:rsid w:val="004A1B8A"/>
    <w:rsid w:val="005009EF"/>
    <w:rsid w:val="005040CD"/>
    <w:rsid w:val="005C6042"/>
    <w:rsid w:val="00607C07"/>
    <w:rsid w:val="00681013"/>
    <w:rsid w:val="006A68DF"/>
    <w:rsid w:val="00701521"/>
    <w:rsid w:val="00717606"/>
    <w:rsid w:val="008070AA"/>
    <w:rsid w:val="008146E2"/>
    <w:rsid w:val="00844320"/>
    <w:rsid w:val="00860115"/>
    <w:rsid w:val="00881D24"/>
    <w:rsid w:val="00895EC0"/>
    <w:rsid w:val="008D1493"/>
    <w:rsid w:val="008F4B29"/>
    <w:rsid w:val="0091212E"/>
    <w:rsid w:val="00941F61"/>
    <w:rsid w:val="009A36FE"/>
    <w:rsid w:val="009A719A"/>
    <w:rsid w:val="009D0816"/>
    <w:rsid w:val="009E5564"/>
    <w:rsid w:val="00A31A72"/>
    <w:rsid w:val="00AC678F"/>
    <w:rsid w:val="00B1039B"/>
    <w:rsid w:val="00B10F32"/>
    <w:rsid w:val="00B46365"/>
    <w:rsid w:val="00BE5506"/>
    <w:rsid w:val="00C1500F"/>
    <w:rsid w:val="00C310EB"/>
    <w:rsid w:val="00C9671C"/>
    <w:rsid w:val="00CA76B1"/>
    <w:rsid w:val="00CF5FBF"/>
    <w:rsid w:val="00CF602D"/>
    <w:rsid w:val="00D86F4E"/>
    <w:rsid w:val="00DB79CB"/>
    <w:rsid w:val="00E109E9"/>
    <w:rsid w:val="00E13E71"/>
    <w:rsid w:val="00E4320F"/>
    <w:rsid w:val="00E52AF7"/>
    <w:rsid w:val="00E8143C"/>
    <w:rsid w:val="00EC03CF"/>
    <w:rsid w:val="00F2635C"/>
    <w:rsid w:val="00F81258"/>
    <w:rsid w:val="00F8495A"/>
    <w:rsid w:val="00FC19DB"/>
    <w:rsid w:val="00FF36D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247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4042D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semiHidden/>
    <w:unhideWhenUsed/>
    <w:qFormat/>
    <w:rsid w:val="004042D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link w:val="berschrift3Zchn"/>
    <w:uiPriority w:val="9"/>
    <w:qFormat/>
    <w:rsid w:val="003004A4"/>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paragraph" w:styleId="berschrift4">
    <w:name w:val="heading 4"/>
    <w:basedOn w:val="Standard"/>
    <w:next w:val="Standard"/>
    <w:link w:val="berschrift4Zchn"/>
    <w:uiPriority w:val="9"/>
    <w:semiHidden/>
    <w:unhideWhenUsed/>
    <w:qFormat/>
    <w:rsid w:val="001C4A9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3004A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3004A4"/>
    <w:rPr>
      <w:b/>
      <w:bCs/>
    </w:rPr>
  </w:style>
  <w:style w:type="character" w:styleId="Hyperlink">
    <w:name w:val="Hyperlink"/>
    <w:basedOn w:val="Absatz-Standardschriftart"/>
    <w:uiPriority w:val="99"/>
    <w:unhideWhenUsed/>
    <w:rsid w:val="003004A4"/>
    <w:rPr>
      <w:color w:val="0000FF"/>
      <w:u w:val="single"/>
    </w:rPr>
  </w:style>
  <w:style w:type="character" w:customStyle="1" w:styleId="berschrift3Zchn">
    <w:name w:val="Überschrift 3 Zchn"/>
    <w:basedOn w:val="Absatz-Standardschriftart"/>
    <w:link w:val="berschrift3"/>
    <w:uiPriority w:val="9"/>
    <w:rsid w:val="003004A4"/>
    <w:rPr>
      <w:rFonts w:ascii="Times New Roman" w:eastAsia="Times New Roman" w:hAnsi="Times New Roman" w:cs="Times New Roman"/>
      <w:b/>
      <w:bCs/>
      <w:sz w:val="27"/>
      <w:szCs w:val="27"/>
      <w:lang w:eastAsia="de-DE"/>
    </w:rPr>
  </w:style>
  <w:style w:type="character" w:customStyle="1" w:styleId="katex">
    <w:name w:val="katex"/>
    <w:basedOn w:val="Absatz-Standardschriftart"/>
    <w:rsid w:val="00CA76B1"/>
  </w:style>
  <w:style w:type="character" w:customStyle="1" w:styleId="berschrift1Zchn">
    <w:name w:val="Überschrift 1 Zchn"/>
    <w:basedOn w:val="Absatz-Standardschriftart"/>
    <w:link w:val="berschrift1"/>
    <w:uiPriority w:val="9"/>
    <w:rsid w:val="004042D4"/>
    <w:rPr>
      <w:rFonts w:asciiTheme="majorHAnsi" w:eastAsiaTheme="majorEastAsia" w:hAnsiTheme="majorHAnsi" w:cstheme="majorBidi"/>
      <w:color w:val="2E74B5" w:themeColor="accent1" w:themeShade="BF"/>
      <w:sz w:val="32"/>
      <w:szCs w:val="32"/>
    </w:rPr>
  </w:style>
  <w:style w:type="character" w:customStyle="1" w:styleId="berschrift2Zchn">
    <w:name w:val="Überschrift 2 Zchn"/>
    <w:basedOn w:val="Absatz-Standardschriftart"/>
    <w:link w:val="berschrift2"/>
    <w:uiPriority w:val="9"/>
    <w:semiHidden/>
    <w:rsid w:val="004042D4"/>
    <w:rPr>
      <w:rFonts w:asciiTheme="majorHAnsi" w:eastAsiaTheme="majorEastAsia" w:hAnsiTheme="majorHAnsi" w:cstheme="majorBidi"/>
      <w:color w:val="2E74B5" w:themeColor="accent1" w:themeShade="BF"/>
      <w:sz w:val="26"/>
      <w:szCs w:val="26"/>
    </w:rPr>
  </w:style>
  <w:style w:type="character" w:customStyle="1" w:styleId="display-block">
    <w:name w:val="display-block"/>
    <w:basedOn w:val="Absatz-Standardschriftart"/>
    <w:rsid w:val="004042D4"/>
  </w:style>
  <w:style w:type="character" w:customStyle="1" w:styleId="a-visually-hidden">
    <w:name w:val="a-visually-hidden"/>
    <w:basedOn w:val="Absatz-Standardschriftart"/>
    <w:rsid w:val="001C4A93"/>
  </w:style>
  <w:style w:type="character" w:customStyle="1" w:styleId="berschrift4Zchn">
    <w:name w:val="Überschrift 4 Zchn"/>
    <w:basedOn w:val="Absatz-Standardschriftart"/>
    <w:link w:val="berschrift4"/>
    <w:uiPriority w:val="9"/>
    <w:semiHidden/>
    <w:rsid w:val="001C4A93"/>
    <w:rPr>
      <w:rFonts w:asciiTheme="majorHAnsi" w:eastAsiaTheme="majorEastAsia" w:hAnsiTheme="majorHAnsi" w:cstheme="majorBidi"/>
      <w:i/>
      <w:iCs/>
      <w:color w:val="2E74B5" w:themeColor="accent1" w:themeShade="BF"/>
    </w:rPr>
  </w:style>
  <w:style w:type="character" w:styleId="Kommentarzeichen">
    <w:name w:val="annotation reference"/>
    <w:basedOn w:val="Absatz-Standardschriftart"/>
    <w:uiPriority w:val="99"/>
    <w:semiHidden/>
    <w:unhideWhenUsed/>
    <w:rsid w:val="00AC678F"/>
    <w:rPr>
      <w:sz w:val="16"/>
      <w:szCs w:val="16"/>
    </w:rPr>
  </w:style>
  <w:style w:type="paragraph" w:styleId="Kommentartext">
    <w:name w:val="annotation text"/>
    <w:basedOn w:val="Standard"/>
    <w:link w:val="KommentartextZchn"/>
    <w:uiPriority w:val="99"/>
    <w:unhideWhenUsed/>
    <w:rsid w:val="00AC678F"/>
    <w:pPr>
      <w:spacing w:line="240" w:lineRule="auto"/>
    </w:pPr>
    <w:rPr>
      <w:sz w:val="20"/>
      <w:szCs w:val="20"/>
    </w:rPr>
  </w:style>
  <w:style w:type="character" w:customStyle="1" w:styleId="KommentartextZchn">
    <w:name w:val="Kommentartext Zchn"/>
    <w:basedOn w:val="Absatz-Standardschriftart"/>
    <w:link w:val="Kommentartext"/>
    <w:uiPriority w:val="99"/>
    <w:rsid w:val="00AC678F"/>
    <w:rPr>
      <w:sz w:val="20"/>
      <w:szCs w:val="20"/>
    </w:rPr>
  </w:style>
  <w:style w:type="paragraph" w:styleId="Kommentarthema">
    <w:name w:val="annotation subject"/>
    <w:basedOn w:val="Kommentartext"/>
    <w:next w:val="Kommentartext"/>
    <w:link w:val="KommentarthemaZchn"/>
    <w:uiPriority w:val="99"/>
    <w:semiHidden/>
    <w:unhideWhenUsed/>
    <w:rsid w:val="00AC678F"/>
    <w:rPr>
      <w:b/>
      <w:bCs/>
    </w:rPr>
  </w:style>
  <w:style w:type="character" w:customStyle="1" w:styleId="KommentarthemaZchn">
    <w:name w:val="Kommentarthema Zchn"/>
    <w:basedOn w:val="KommentartextZchn"/>
    <w:link w:val="Kommentarthema"/>
    <w:uiPriority w:val="99"/>
    <w:semiHidden/>
    <w:rsid w:val="00AC678F"/>
    <w:rPr>
      <w:b/>
      <w:bCs/>
      <w:sz w:val="20"/>
      <w:szCs w:val="20"/>
    </w:rPr>
  </w:style>
  <w:style w:type="paragraph" w:styleId="berarbeitung">
    <w:name w:val="Revision"/>
    <w:hidden/>
    <w:uiPriority w:val="99"/>
    <w:semiHidden/>
    <w:rsid w:val="00AC678F"/>
    <w:pPr>
      <w:spacing w:after="0" w:line="240" w:lineRule="auto"/>
    </w:pPr>
  </w:style>
  <w:style w:type="paragraph" w:styleId="Sprechblasentext">
    <w:name w:val="Balloon Text"/>
    <w:basedOn w:val="Standard"/>
    <w:link w:val="SprechblasentextZchn"/>
    <w:uiPriority w:val="99"/>
    <w:semiHidden/>
    <w:unhideWhenUsed/>
    <w:rsid w:val="00895EC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95EC0"/>
    <w:rPr>
      <w:rFonts w:ascii="Segoe UI" w:hAnsi="Segoe UI" w:cs="Segoe UI"/>
      <w:sz w:val="18"/>
      <w:szCs w:val="18"/>
    </w:rPr>
  </w:style>
  <w:style w:type="paragraph" w:styleId="Listenabsatz">
    <w:name w:val="List Paragraph"/>
    <w:basedOn w:val="Standard"/>
    <w:uiPriority w:val="34"/>
    <w:qFormat/>
    <w:rsid w:val="00A31A72"/>
    <w:pPr>
      <w:ind w:left="720"/>
      <w:contextualSpacing/>
    </w:pPr>
  </w:style>
  <w:style w:type="paragraph" w:styleId="Kopfzeile">
    <w:name w:val="header"/>
    <w:basedOn w:val="Standard"/>
    <w:link w:val="KopfzeileZchn"/>
    <w:uiPriority w:val="99"/>
    <w:unhideWhenUsed/>
    <w:rsid w:val="00F2635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2635C"/>
  </w:style>
  <w:style w:type="paragraph" w:styleId="Fuzeile">
    <w:name w:val="footer"/>
    <w:basedOn w:val="Standard"/>
    <w:link w:val="FuzeileZchn"/>
    <w:uiPriority w:val="99"/>
    <w:unhideWhenUsed/>
    <w:rsid w:val="00F2635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263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4042D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semiHidden/>
    <w:unhideWhenUsed/>
    <w:qFormat/>
    <w:rsid w:val="004042D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link w:val="berschrift3Zchn"/>
    <w:uiPriority w:val="9"/>
    <w:qFormat/>
    <w:rsid w:val="003004A4"/>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paragraph" w:styleId="berschrift4">
    <w:name w:val="heading 4"/>
    <w:basedOn w:val="Standard"/>
    <w:next w:val="Standard"/>
    <w:link w:val="berschrift4Zchn"/>
    <w:uiPriority w:val="9"/>
    <w:semiHidden/>
    <w:unhideWhenUsed/>
    <w:qFormat/>
    <w:rsid w:val="001C4A9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3004A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3004A4"/>
    <w:rPr>
      <w:b/>
      <w:bCs/>
    </w:rPr>
  </w:style>
  <w:style w:type="character" w:styleId="Hyperlink">
    <w:name w:val="Hyperlink"/>
    <w:basedOn w:val="Absatz-Standardschriftart"/>
    <w:uiPriority w:val="99"/>
    <w:unhideWhenUsed/>
    <w:rsid w:val="003004A4"/>
    <w:rPr>
      <w:color w:val="0000FF"/>
      <w:u w:val="single"/>
    </w:rPr>
  </w:style>
  <w:style w:type="character" w:customStyle="1" w:styleId="berschrift3Zchn">
    <w:name w:val="Überschrift 3 Zchn"/>
    <w:basedOn w:val="Absatz-Standardschriftart"/>
    <w:link w:val="berschrift3"/>
    <w:uiPriority w:val="9"/>
    <w:rsid w:val="003004A4"/>
    <w:rPr>
      <w:rFonts w:ascii="Times New Roman" w:eastAsia="Times New Roman" w:hAnsi="Times New Roman" w:cs="Times New Roman"/>
      <w:b/>
      <w:bCs/>
      <w:sz w:val="27"/>
      <w:szCs w:val="27"/>
      <w:lang w:eastAsia="de-DE"/>
    </w:rPr>
  </w:style>
  <w:style w:type="character" w:customStyle="1" w:styleId="katex">
    <w:name w:val="katex"/>
    <w:basedOn w:val="Absatz-Standardschriftart"/>
    <w:rsid w:val="00CA76B1"/>
  </w:style>
  <w:style w:type="character" w:customStyle="1" w:styleId="berschrift1Zchn">
    <w:name w:val="Überschrift 1 Zchn"/>
    <w:basedOn w:val="Absatz-Standardschriftart"/>
    <w:link w:val="berschrift1"/>
    <w:uiPriority w:val="9"/>
    <w:rsid w:val="004042D4"/>
    <w:rPr>
      <w:rFonts w:asciiTheme="majorHAnsi" w:eastAsiaTheme="majorEastAsia" w:hAnsiTheme="majorHAnsi" w:cstheme="majorBidi"/>
      <w:color w:val="2E74B5" w:themeColor="accent1" w:themeShade="BF"/>
      <w:sz w:val="32"/>
      <w:szCs w:val="32"/>
    </w:rPr>
  </w:style>
  <w:style w:type="character" w:customStyle="1" w:styleId="berschrift2Zchn">
    <w:name w:val="Überschrift 2 Zchn"/>
    <w:basedOn w:val="Absatz-Standardschriftart"/>
    <w:link w:val="berschrift2"/>
    <w:uiPriority w:val="9"/>
    <w:semiHidden/>
    <w:rsid w:val="004042D4"/>
    <w:rPr>
      <w:rFonts w:asciiTheme="majorHAnsi" w:eastAsiaTheme="majorEastAsia" w:hAnsiTheme="majorHAnsi" w:cstheme="majorBidi"/>
      <w:color w:val="2E74B5" w:themeColor="accent1" w:themeShade="BF"/>
      <w:sz w:val="26"/>
      <w:szCs w:val="26"/>
    </w:rPr>
  </w:style>
  <w:style w:type="character" w:customStyle="1" w:styleId="display-block">
    <w:name w:val="display-block"/>
    <w:basedOn w:val="Absatz-Standardschriftart"/>
    <w:rsid w:val="004042D4"/>
  </w:style>
  <w:style w:type="character" w:customStyle="1" w:styleId="a-visually-hidden">
    <w:name w:val="a-visually-hidden"/>
    <w:basedOn w:val="Absatz-Standardschriftart"/>
    <w:rsid w:val="001C4A93"/>
  </w:style>
  <w:style w:type="character" w:customStyle="1" w:styleId="berschrift4Zchn">
    <w:name w:val="Überschrift 4 Zchn"/>
    <w:basedOn w:val="Absatz-Standardschriftart"/>
    <w:link w:val="berschrift4"/>
    <w:uiPriority w:val="9"/>
    <w:semiHidden/>
    <w:rsid w:val="001C4A93"/>
    <w:rPr>
      <w:rFonts w:asciiTheme="majorHAnsi" w:eastAsiaTheme="majorEastAsia" w:hAnsiTheme="majorHAnsi" w:cstheme="majorBidi"/>
      <w:i/>
      <w:iCs/>
      <w:color w:val="2E74B5" w:themeColor="accent1" w:themeShade="BF"/>
    </w:rPr>
  </w:style>
  <w:style w:type="character" w:styleId="Kommentarzeichen">
    <w:name w:val="annotation reference"/>
    <w:basedOn w:val="Absatz-Standardschriftart"/>
    <w:uiPriority w:val="99"/>
    <w:semiHidden/>
    <w:unhideWhenUsed/>
    <w:rsid w:val="00AC678F"/>
    <w:rPr>
      <w:sz w:val="16"/>
      <w:szCs w:val="16"/>
    </w:rPr>
  </w:style>
  <w:style w:type="paragraph" w:styleId="Kommentartext">
    <w:name w:val="annotation text"/>
    <w:basedOn w:val="Standard"/>
    <w:link w:val="KommentartextZchn"/>
    <w:uiPriority w:val="99"/>
    <w:unhideWhenUsed/>
    <w:rsid w:val="00AC678F"/>
    <w:pPr>
      <w:spacing w:line="240" w:lineRule="auto"/>
    </w:pPr>
    <w:rPr>
      <w:sz w:val="20"/>
      <w:szCs w:val="20"/>
    </w:rPr>
  </w:style>
  <w:style w:type="character" w:customStyle="1" w:styleId="KommentartextZchn">
    <w:name w:val="Kommentartext Zchn"/>
    <w:basedOn w:val="Absatz-Standardschriftart"/>
    <w:link w:val="Kommentartext"/>
    <w:uiPriority w:val="99"/>
    <w:rsid w:val="00AC678F"/>
    <w:rPr>
      <w:sz w:val="20"/>
      <w:szCs w:val="20"/>
    </w:rPr>
  </w:style>
  <w:style w:type="paragraph" w:styleId="Kommentarthema">
    <w:name w:val="annotation subject"/>
    <w:basedOn w:val="Kommentartext"/>
    <w:next w:val="Kommentartext"/>
    <w:link w:val="KommentarthemaZchn"/>
    <w:uiPriority w:val="99"/>
    <w:semiHidden/>
    <w:unhideWhenUsed/>
    <w:rsid w:val="00AC678F"/>
    <w:rPr>
      <w:b/>
      <w:bCs/>
    </w:rPr>
  </w:style>
  <w:style w:type="character" w:customStyle="1" w:styleId="KommentarthemaZchn">
    <w:name w:val="Kommentarthema Zchn"/>
    <w:basedOn w:val="KommentartextZchn"/>
    <w:link w:val="Kommentarthema"/>
    <w:uiPriority w:val="99"/>
    <w:semiHidden/>
    <w:rsid w:val="00AC678F"/>
    <w:rPr>
      <w:b/>
      <w:bCs/>
      <w:sz w:val="20"/>
      <w:szCs w:val="20"/>
    </w:rPr>
  </w:style>
  <w:style w:type="paragraph" w:styleId="berarbeitung">
    <w:name w:val="Revision"/>
    <w:hidden/>
    <w:uiPriority w:val="99"/>
    <w:semiHidden/>
    <w:rsid w:val="00AC678F"/>
    <w:pPr>
      <w:spacing w:after="0" w:line="240" w:lineRule="auto"/>
    </w:pPr>
  </w:style>
  <w:style w:type="paragraph" w:styleId="Sprechblasentext">
    <w:name w:val="Balloon Text"/>
    <w:basedOn w:val="Standard"/>
    <w:link w:val="SprechblasentextZchn"/>
    <w:uiPriority w:val="99"/>
    <w:semiHidden/>
    <w:unhideWhenUsed/>
    <w:rsid w:val="00895EC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95EC0"/>
    <w:rPr>
      <w:rFonts w:ascii="Segoe UI" w:hAnsi="Segoe UI" w:cs="Segoe UI"/>
      <w:sz w:val="18"/>
      <w:szCs w:val="18"/>
    </w:rPr>
  </w:style>
  <w:style w:type="paragraph" w:styleId="Listenabsatz">
    <w:name w:val="List Paragraph"/>
    <w:basedOn w:val="Standard"/>
    <w:uiPriority w:val="34"/>
    <w:qFormat/>
    <w:rsid w:val="00A31A72"/>
    <w:pPr>
      <w:ind w:left="720"/>
      <w:contextualSpacing/>
    </w:pPr>
  </w:style>
  <w:style w:type="paragraph" w:styleId="Kopfzeile">
    <w:name w:val="header"/>
    <w:basedOn w:val="Standard"/>
    <w:link w:val="KopfzeileZchn"/>
    <w:uiPriority w:val="99"/>
    <w:unhideWhenUsed/>
    <w:rsid w:val="00F2635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2635C"/>
  </w:style>
  <w:style w:type="paragraph" w:styleId="Fuzeile">
    <w:name w:val="footer"/>
    <w:basedOn w:val="Standard"/>
    <w:link w:val="FuzeileZchn"/>
    <w:uiPriority w:val="99"/>
    <w:unhideWhenUsed/>
    <w:rsid w:val="00F2635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263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90076">
      <w:bodyDiv w:val="1"/>
      <w:marLeft w:val="0"/>
      <w:marRight w:val="0"/>
      <w:marTop w:val="0"/>
      <w:marBottom w:val="0"/>
      <w:divBdr>
        <w:top w:val="none" w:sz="0" w:space="0" w:color="auto"/>
        <w:left w:val="none" w:sz="0" w:space="0" w:color="auto"/>
        <w:bottom w:val="none" w:sz="0" w:space="0" w:color="auto"/>
        <w:right w:val="none" w:sz="0" w:space="0" w:color="auto"/>
      </w:divBdr>
    </w:div>
    <w:div w:id="79258250">
      <w:bodyDiv w:val="1"/>
      <w:marLeft w:val="0"/>
      <w:marRight w:val="0"/>
      <w:marTop w:val="0"/>
      <w:marBottom w:val="0"/>
      <w:divBdr>
        <w:top w:val="none" w:sz="0" w:space="0" w:color="auto"/>
        <w:left w:val="none" w:sz="0" w:space="0" w:color="auto"/>
        <w:bottom w:val="none" w:sz="0" w:space="0" w:color="auto"/>
        <w:right w:val="none" w:sz="0" w:space="0" w:color="auto"/>
      </w:divBdr>
      <w:divsChild>
        <w:div w:id="573130445">
          <w:marLeft w:val="0"/>
          <w:marRight w:val="0"/>
          <w:marTop w:val="0"/>
          <w:marBottom w:val="0"/>
          <w:divBdr>
            <w:top w:val="none" w:sz="0" w:space="0" w:color="auto"/>
            <w:left w:val="none" w:sz="0" w:space="0" w:color="auto"/>
            <w:bottom w:val="none" w:sz="0" w:space="0" w:color="auto"/>
            <w:right w:val="none" w:sz="0" w:space="0" w:color="auto"/>
          </w:divBdr>
        </w:div>
        <w:div w:id="1447700359">
          <w:marLeft w:val="0"/>
          <w:marRight w:val="0"/>
          <w:marTop w:val="0"/>
          <w:marBottom w:val="0"/>
          <w:divBdr>
            <w:top w:val="none" w:sz="0" w:space="0" w:color="auto"/>
            <w:left w:val="none" w:sz="0" w:space="0" w:color="auto"/>
            <w:bottom w:val="none" w:sz="0" w:space="0" w:color="auto"/>
            <w:right w:val="none" w:sz="0" w:space="0" w:color="auto"/>
          </w:divBdr>
        </w:div>
        <w:div w:id="160245588">
          <w:marLeft w:val="0"/>
          <w:marRight w:val="0"/>
          <w:marTop w:val="0"/>
          <w:marBottom w:val="0"/>
          <w:divBdr>
            <w:top w:val="none" w:sz="0" w:space="0" w:color="auto"/>
            <w:left w:val="none" w:sz="0" w:space="0" w:color="auto"/>
            <w:bottom w:val="none" w:sz="0" w:space="0" w:color="auto"/>
            <w:right w:val="none" w:sz="0" w:space="0" w:color="auto"/>
          </w:divBdr>
        </w:div>
        <w:div w:id="1148130546">
          <w:marLeft w:val="0"/>
          <w:marRight w:val="0"/>
          <w:marTop w:val="0"/>
          <w:marBottom w:val="0"/>
          <w:divBdr>
            <w:top w:val="none" w:sz="0" w:space="0" w:color="auto"/>
            <w:left w:val="none" w:sz="0" w:space="0" w:color="auto"/>
            <w:bottom w:val="none" w:sz="0" w:space="0" w:color="auto"/>
            <w:right w:val="none" w:sz="0" w:space="0" w:color="auto"/>
          </w:divBdr>
        </w:div>
      </w:divsChild>
    </w:div>
    <w:div w:id="408116411">
      <w:bodyDiv w:val="1"/>
      <w:marLeft w:val="0"/>
      <w:marRight w:val="0"/>
      <w:marTop w:val="0"/>
      <w:marBottom w:val="0"/>
      <w:divBdr>
        <w:top w:val="none" w:sz="0" w:space="0" w:color="auto"/>
        <w:left w:val="none" w:sz="0" w:space="0" w:color="auto"/>
        <w:bottom w:val="none" w:sz="0" w:space="0" w:color="auto"/>
        <w:right w:val="none" w:sz="0" w:space="0" w:color="auto"/>
      </w:divBdr>
    </w:div>
    <w:div w:id="437989908">
      <w:bodyDiv w:val="1"/>
      <w:marLeft w:val="0"/>
      <w:marRight w:val="0"/>
      <w:marTop w:val="0"/>
      <w:marBottom w:val="0"/>
      <w:divBdr>
        <w:top w:val="none" w:sz="0" w:space="0" w:color="auto"/>
        <w:left w:val="none" w:sz="0" w:space="0" w:color="auto"/>
        <w:bottom w:val="none" w:sz="0" w:space="0" w:color="auto"/>
        <w:right w:val="none" w:sz="0" w:space="0" w:color="auto"/>
      </w:divBdr>
    </w:div>
    <w:div w:id="575282905">
      <w:bodyDiv w:val="1"/>
      <w:marLeft w:val="0"/>
      <w:marRight w:val="0"/>
      <w:marTop w:val="0"/>
      <w:marBottom w:val="0"/>
      <w:divBdr>
        <w:top w:val="none" w:sz="0" w:space="0" w:color="auto"/>
        <w:left w:val="none" w:sz="0" w:space="0" w:color="auto"/>
        <w:bottom w:val="none" w:sz="0" w:space="0" w:color="auto"/>
        <w:right w:val="none" w:sz="0" w:space="0" w:color="auto"/>
      </w:divBdr>
    </w:div>
    <w:div w:id="611670114">
      <w:bodyDiv w:val="1"/>
      <w:marLeft w:val="0"/>
      <w:marRight w:val="0"/>
      <w:marTop w:val="0"/>
      <w:marBottom w:val="0"/>
      <w:divBdr>
        <w:top w:val="none" w:sz="0" w:space="0" w:color="auto"/>
        <w:left w:val="none" w:sz="0" w:space="0" w:color="auto"/>
        <w:bottom w:val="none" w:sz="0" w:space="0" w:color="auto"/>
        <w:right w:val="none" w:sz="0" w:space="0" w:color="auto"/>
      </w:divBdr>
    </w:div>
    <w:div w:id="909198929">
      <w:bodyDiv w:val="1"/>
      <w:marLeft w:val="0"/>
      <w:marRight w:val="0"/>
      <w:marTop w:val="0"/>
      <w:marBottom w:val="0"/>
      <w:divBdr>
        <w:top w:val="none" w:sz="0" w:space="0" w:color="auto"/>
        <w:left w:val="none" w:sz="0" w:space="0" w:color="auto"/>
        <w:bottom w:val="none" w:sz="0" w:space="0" w:color="auto"/>
        <w:right w:val="none" w:sz="0" w:space="0" w:color="auto"/>
      </w:divBdr>
    </w:div>
    <w:div w:id="989023529">
      <w:bodyDiv w:val="1"/>
      <w:marLeft w:val="0"/>
      <w:marRight w:val="0"/>
      <w:marTop w:val="0"/>
      <w:marBottom w:val="0"/>
      <w:divBdr>
        <w:top w:val="none" w:sz="0" w:space="0" w:color="auto"/>
        <w:left w:val="none" w:sz="0" w:space="0" w:color="auto"/>
        <w:bottom w:val="none" w:sz="0" w:space="0" w:color="auto"/>
        <w:right w:val="none" w:sz="0" w:space="0" w:color="auto"/>
      </w:divBdr>
    </w:div>
    <w:div w:id="1093622885">
      <w:bodyDiv w:val="1"/>
      <w:marLeft w:val="0"/>
      <w:marRight w:val="0"/>
      <w:marTop w:val="0"/>
      <w:marBottom w:val="0"/>
      <w:divBdr>
        <w:top w:val="none" w:sz="0" w:space="0" w:color="auto"/>
        <w:left w:val="none" w:sz="0" w:space="0" w:color="auto"/>
        <w:bottom w:val="none" w:sz="0" w:space="0" w:color="auto"/>
        <w:right w:val="none" w:sz="0" w:space="0" w:color="auto"/>
      </w:divBdr>
    </w:div>
    <w:div w:id="1210458161">
      <w:bodyDiv w:val="1"/>
      <w:marLeft w:val="0"/>
      <w:marRight w:val="0"/>
      <w:marTop w:val="0"/>
      <w:marBottom w:val="0"/>
      <w:divBdr>
        <w:top w:val="none" w:sz="0" w:space="0" w:color="auto"/>
        <w:left w:val="none" w:sz="0" w:space="0" w:color="auto"/>
        <w:bottom w:val="none" w:sz="0" w:space="0" w:color="auto"/>
        <w:right w:val="none" w:sz="0" w:space="0" w:color="auto"/>
      </w:divBdr>
    </w:div>
    <w:div w:id="1378436894">
      <w:bodyDiv w:val="1"/>
      <w:marLeft w:val="0"/>
      <w:marRight w:val="0"/>
      <w:marTop w:val="0"/>
      <w:marBottom w:val="0"/>
      <w:divBdr>
        <w:top w:val="none" w:sz="0" w:space="0" w:color="auto"/>
        <w:left w:val="none" w:sz="0" w:space="0" w:color="auto"/>
        <w:bottom w:val="none" w:sz="0" w:space="0" w:color="auto"/>
        <w:right w:val="none" w:sz="0" w:space="0" w:color="auto"/>
      </w:divBdr>
    </w:div>
    <w:div w:id="1420712259">
      <w:bodyDiv w:val="1"/>
      <w:marLeft w:val="0"/>
      <w:marRight w:val="0"/>
      <w:marTop w:val="0"/>
      <w:marBottom w:val="0"/>
      <w:divBdr>
        <w:top w:val="none" w:sz="0" w:space="0" w:color="auto"/>
        <w:left w:val="none" w:sz="0" w:space="0" w:color="auto"/>
        <w:bottom w:val="none" w:sz="0" w:space="0" w:color="auto"/>
        <w:right w:val="none" w:sz="0" w:space="0" w:color="auto"/>
      </w:divBdr>
    </w:div>
    <w:div w:id="1592660866">
      <w:bodyDiv w:val="1"/>
      <w:marLeft w:val="0"/>
      <w:marRight w:val="0"/>
      <w:marTop w:val="0"/>
      <w:marBottom w:val="0"/>
      <w:divBdr>
        <w:top w:val="none" w:sz="0" w:space="0" w:color="auto"/>
        <w:left w:val="none" w:sz="0" w:space="0" w:color="auto"/>
        <w:bottom w:val="none" w:sz="0" w:space="0" w:color="auto"/>
        <w:right w:val="none" w:sz="0" w:space="0" w:color="auto"/>
      </w:divBdr>
    </w:div>
    <w:div w:id="1731658640">
      <w:bodyDiv w:val="1"/>
      <w:marLeft w:val="0"/>
      <w:marRight w:val="0"/>
      <w:marTop w:val="0"/>
      <w:marBottom w:val="0"/>
      <w:divBdr>
        <w:top w:val="none" w:sz="0" w:space="0" w:color="auto"/>
        <w:left w:val="none" w:sz="0" w:space="0" w:color="auto"/>
        <w:bottom w:val="none" w:sz="0" w:space="0" w:color="auto"/>
        <w:right w:val="none" w:sz="0" w:space="0" w:color="auto"/>
      </w:divBdr>
    </w:div>
    <w:div w:id="2050252967">
      <w:bodyDiv w:val="1"/>
      <w:marLeft w:val="0"/>
      <w:marRight w:val="0"/>
      <w:marTop w:val="0"/>
      <w:marBottom w:val="0"/>
      <w:divBdr>
        <w:top w:val="none" w:sz="0" w:space="0" w:color="auto"/>
        <w:left w:val="none" w:sz="0" w:space="0" w:color="auto"/>
        <w:bottom w:val="none" w:sz="0" w:space="0" w:color="auto"/>
        <w:right w:val="none" w:sz="0" w:space="0" w:color="auto"/>
      </w:divBdr>
    </w:div>
    <w:div w:id="2098818887">
      <w:bodyDiv w:val="1"/>
      <w:marLeft w:val="0"/>
      <w:marRight w:val="0"/>
      <w:marTop w:val="0"/>
      <w:marBottom w:val="0"/>
      <w:divBdr>
        <w:top w:val="none" w:sz="0" w:space="0" w:color="auto"/>
        <w:left w:val="none" w:sz="0" w:space="0" w:color="auto"/>
        <w:bottom w:val="none" w:sz="0" w:space="0" w:color="auto"/>
        <w:right w:val="none" w:sz="0" w:space="0" w:color="auto"/>
      </w:divBdr>
    </w:div>
    <w:div w:id="2104110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microsoft.com/office/2016/09/relationships/commentsIds" Target="commentsIds.xml"/><Relationship Id="rId2" Type="http://schemas.openxmlformats.org/officeDocument/2006/relationships/styles" Target="styles.xml"/><Relationship Id="rId16" Type="http://schemas.microsoft.com/office/2018/08/relationships/commentsExtensible" Target="commentsExtensi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1037</Words>
  <Characters>6535</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7557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2025-03-24T10:47:00Z</dcterms:created>
  <dcterms:modified xsi:type="dcterms:W3CDTF">2025-03-24T10:57:00Z</dcterms:modified>
</cp:coreProperties>
</file>