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9117B" w14:textId="5778387D" w:rsidR="00E024E2" w:rsidRPr="006B1FE1" w:rsidRDefault="00E024E2" w:rsidP="00E024E2">
      <w:pPr>
        <w:pStyle w:val="Listenabsatz"/>
        <w:numPr>
          <w:ilvl w:val="0"/>
          <w:numId w:val="2"/>
        </w:numPr>
        <w:rPr>
          <w:rFonts w:ascii="Arial" w:hAnsi="Arial"/>
          <w:b/>
        </w:rPr>
      </w:pPr>
      <w:bookmarkStart w:id="0" w:name="_GoBack"/>
      <w:bookmarkEnd w:id="0"/>
      <w:r w:rsidRPr="006B1FE1">
        <w:rPr>
          <w:rFonts w:ascii="Arial" w:hAnsi="Arial"/>
          <w:b/>
        </w:rPr>
        <w:t>Ausgehend vom Warengewicht werden auf dem Seeweg mehr als 80 Prozent des grenzüberschreitenden Warenhandels transportiert.</w:t>
      </w:r>
    </w:p>
    <w:p w14:paraId="08CA472F" w14:textId="77777777" w:rsidR="00E024E2" w:rsidRPr="006B1FE1" w:rsidRDefault="00E024E2" w:rsidP="003B3CEF">
      <w:pPr>
        <w:rPr>
          <w:rFonts w:ascii="Arial" w:hAnsi="Arial"/>
          <w:b/>
        </w:rPr>
      </w:pPr>
    </w:p>
    <w:p w14:paraId="53198893" w14:textId="4D9172C7" w:rsidR="00E024E2" w:rsidRPr="006B1FE1" w:rsidRDefault="00E024E2" w:rsidP="00E024E2">
      <w:pPr>
        <w:pStyle w:val="Listenabsatz"/>
        <w:numPr>
          <w:ilvl w:val="0"/>
          <w:numId w:val="2"/>
        </w:numPr>
        <w:rPr>
          <w:rFonts w:ascii="Arial" w:hAnsi="Arial"/>
          <w:b/>
        </w:rPr>
      </w:pPr>
      <w:r w:rsidRPr="006B1FE1">
        <w:rPr>
          <w:rFonts w:ascii="Arial" w:hAnsi="Arial"/>
          <w:b/>
        </w:rPr>
        <w:t>Zwischen 1970 und 2023 hat sich das Seefrachtaufkommen etwa versechsfacht.</w:t>
      </w:r>
    </w:p>
    <w:p w14:paraId="187A6604" w14:textId="77777777" w:rsidR="00E024E2" w:rsidRPr="006B1FE1" w:rsidRDefault="00E024E2" w:rsidP="003B3CEF">
      <w:pPr>
        <w:rPr>
          <w:rFonts w:ascii="Arial" w:hAnsi="Arial"/>
          <w:b/>
        </w:rPr>
      </w:pPr>
    </w:p>
    <w:p w14:paraId="2AA872C2" w14:textId="12B141A8" w:rsidR="00E024E2" w:rsidRPr="006B1FE1" w:rsidRDefault="00E024E2" w:rsidP="00E024E2">
      <w:pPr>
        <w:pStyle w:val="Listenabsatz"/>
        <w:numPr>
          <w:ilvl w:val="0"/>
          <w:numId w:val="2"/>
        </w:numPr>
        <w:rPr>
          <w:rFonts w:ascii="Arial" w:hAnsi="Arial"/>
          <w:b/>
        </w:rPr>
      </w:pPr>
      <w:r w:rsidRPr="006B1FE1">
        <w:rPr>
          <w:rFonts w:ascii="Arial" w:hAnsi="Arial"/>
          <w:b/>
        </w:rPr>
        <w:t>Knapp die Hälfte des Seefrachtaufkommens entfällt auf trockene Massengüter (z.B. Eisenerz, Kohle, Getreide), gut ein Viertel auf Öl und Gas.</w:t>
      </w:r>
    </w:p>
    <w:p w14:paraId="7A21A8A1" w14:textId="77777777" w:rsidR="00E024E2" w:rsidRPr="006B1FE1" w:rsidRDefault="00E024E2" w:rsidP="003B3CEF">
      <w:pPr>
        <w:rPr>
          <w:rFonts w:ascii="Arial" w:hAnsi="Arial"/>
          <w:b/>
        </w:rPr>
      </w:pPr>
    </w:p>
    <w:p w14:paraId="784F182A" w14:textId="419AFF25" w:rsidR="00E024E2" w:rsidRPr="006B1FE1" w:rsidRDefault="00E024E2" w:rsidP="00E024E2">
      <w:pPr>
        <w:pStyle w:val="Listenabsatz"/>
        <w:numPr>
          <w:ilvl w:val="0"/>
          <w:numId w:val="2"/>
        </w:numPr>
        <w:rPr>
          <w:rFonts w:ascii="Arial" w:hAnsi="Arial"/>
          <w:b/>
        </w:rPr>
      </w:pPr>
      <w:r w:rsidRPr="006B1FE1">
        <w:rPr>
          <w:rFonts w:ascii="Arial" w:hAnsi="Arial"/>
          <w:b/>
        </w:rPr>
        <w:t>Gemessen an der Tragfähigkeit der Schiffe kontrollierten im Jahr 2022 die Unternehmen aus China, Griechenland, Japan und Singapur mehr als die Hälfte des Seefrachtaufkommens.</w:t>
      </w:r>
    </w:p>
    <w:p w14:paraId="48303F33" w14:textId="77777777" w:rsidR="00E024E2" w:rsidRPr="00950C7C" w:rsidRDefault="00E024E2" w:rsidP="003B3CEF">
      <w:pPr>
        <w:rPr>
          <w:rFonts w:ascii="Arial" w:hAnsi="Arial"/>
          <w:b/>
        </w:rPr>
      </w:pPr>
    </w:p>
    <w:p w14:paraId="3269F7AC" w14:textId="77777777" w:rsidR="004102FE" w:rsidRDefault="004102FE">
      <w:pPr>
        <w:rPr>
          <w:rFonts w:ascii="Arial" w:hAnsi="Arial"/>
          <w:color w:val="FF0000"/>
        </w:rPr>
      </w:pPr>
      <w:r>
        <w:rPr>
          <w:rFonts w:ascii="Arial" w:hAnsi="Arial"/>
          <w:color w:val="FF0000"/>
        </w:rPr>
        <w:t>Fakten</w:t>
      </w:r>
    </w:p>
    <w:p w14:paraId="264F461F" w14:textId="77777777" w:rsidR="004102FE" w:rsidRPr="00461466" w:rsidRDefault="004102FE">
      <w:pPr>
        <w:rPr>
          <w:rFonts w:ascii="Arial" w:hAnsi="Arial"/>
        </w:rPr>
      </w:pPr>
    </w:p>
    <w:p w14:paraId="5AA578FC" w14:textId="60591BD7" w:rsidR="001608F1" w:rsidRPr="00E024E2" w:rsidRDefault="004102FE" w:rsidP="00E1606B">
      <w:pPr>
        <w:rPr>
          <w:rFonts w:ascii="Arial" w:hAnsi="Arial"/>
        </w:rPr>
      </w:pPr>
      <w:r w:rsidRPr="00461466">
        <w:rPr>
          <w:rFonts w:ascii="Arial" w:hAnsi="Arial"/>
        </w:rPr>
        <w:t>Der Transport über den Seeweg ist zentral für die globale Vernetzung</w:t>
      </w:r>
      <w:r w:rsidR="00E17E73" w:rsidRPr="00461466">
        <w:rPr>
          <w:rFonts w:ascii="Arial" w:hAnsi="Arial"/>
        </w:rPr>
        <w:t xml:space="preserve">. Nach Angaben der </w:t>
      </w:r>
      <w:r w:rsidR="00461466" w:rsidRPr="00461466">
        <w:rPr>
          <w:rFonts w:ascii="Arial" w:hAnsi="Arial"/>
        </w:rPr>
        <w:t xml:space="preserve">United </w:t>
      </w:r>
      <w:proofErr w:type="spellStart"/>
      <w:r w:rsidR="00461466" w:rsidRPr="00461466">
        <w:rPr>
          <w:rFonts w:ascii="Arial" w:hAnsi="Arial"/>
        </w:rPr>
        <w:t>Nations</w:t>
      </w:r>
      <w:proofErr w:type="spellEnd"/>
      <w:r w:rsidR="00461466" w:rsidRPr="00461466">
        <w:rPr>
          <w:rFonts w:ascii="Arial" w:hAnsi="Arial"/>
        </w:rPr>
        <w:t xml:space="preserve"> Conference on Trade </w:t>
      </w:r>
      <w:proofErr w:type="spellStart"/>
      <w:r w:rsidR="00461466" w:rsidRPr="00461466">
        <w:rPr>
          <w:rFonts w:ascii="Arial" w:hAnsi="Arial"/>
        </w:rPr>
        <w:t>and</w:t>
      </w:r>
      <w:proofErr w:type="spellEnd"/>
      <w:r w:rsidR="00461466" w:rsidRPr="00461466">
        <w:rPr>
          <w:rFonts w:ascii="Arial" w:hAnsi="Arial"/>
        </w:rPr>
        <w:t xml:space="preserve"> Development (UNCTAD) w</w:t>
      </w:r>
      <w:r w:rsidR="00E17E73" w:rsidRPr="00461466">
        <w:rPr>
          <w:rFonts w:ascii="Arial" w:hAnsi="Arial"/>
        </w:rPr>
        <w:t xml:space="preserve">erden auf dem Seeweg </w:t>
      </w:r>
      <w:r w:rsidRPr="00461466">
        <w:rPr>
          <w:rFonts w:ascii="Arial" w:hAnsi="Arial"/>
        </w:rPr>
        <w:t>–</w:t>
      </w:r>
      <w:r w:rsidR="00A4124A" w:rsidRPr="00461466">
        <w:rPr>
          <w:rFonts w:ascii="Arial" w:hAnsi="Arial"/>
        </w:rPr>
        <w:t xml:space="preserve"> ausgehend vom Warengewicht der transportierten Güter </w:t>
      </w:r>
      <w:r w:rsidRPr="00461466">
        <w:rPr>
          <w:rFonts w:ascii="Arial" w:hAnsi="Arial"/>
        </w:rPr>
        <w:t xml:space="preserve">– </w:t>
      </w:r>
      <w:r w:rsidR="00461466" w:rsidRPr="00461466">
        <w:rPr>
          <w:rFonts w:ascii="Arial" w:hAnsi="Arial"/>
        </w:rPr>
        <w:t>mehr als 8</w:t>
      </w:r>
      <w:r w:rsidRPr="00461466">
        <w:rPr>
          <w:rFonts w:ascii="Arial" w:hAnsi="Arial"/>
        </w:rPr>
        <w:t xml:space="preserve">0 Prozent des grenzüberschreitenden Warenhandels </w:t>
      </w:r>
      <w:r w:rsidR="00E17E73" w:rsidRPr="00461466">
        <w:rPr>
          <w:rFonts w:ascii="Arial" w:hAnsi="Arial"/>
        </w:rPr>
        <w:t>transportiert</w:t>
      </w:r>
      <w:r w:rsidRPr="00461466">
        <w:rPr>
          <w:rFonts w:ascii="Arial" w:hAnsi="Arial"/>
        </w:rPr>
        <w:t>.</w:t>
      </w:r>
      <w:r w:rsidR="00E1606B">
        <w:rPr>
          <w:rFonts w:ascii="Arial" w:hAnsi="Arial"/>
        </w:rPr>
        <w:t xml:space="preserve"> </w:t>
      </w:r>
      <w:r w:rsidR="00461466" w:rsidRPr="001E7849">
        <w:rPr>
          <w:rFonts w:ascii="Arial" w:hAnsi="Arial"/>
        </w:rPr>
        <w:t xml:space="preserve">Im Jahr 2022 wurden laut dem Schifffahrtsdienstleister </w:t>
      </w:r>
      <w:proofErr w:type="spellStart"/>
      <w:r w:rsidR="00461466" w:rsidRPr="001E7849">
        <w:rPr>
          <w:rFonts w:ascii="Arial" w:hAnsi="Arial"/>
        </w:rPr>
        <w:t>Clarkson</w:t>
      </w:r>
      <w:proofErr w:type="spellEnd"/>
      <w:r w:rsidR="00461466" w:rsidRPr="001E7849">
        <w:rPr>
          <w:rFonts w:ascii="Arial" w:hAnsi="Arial"/>
        </w:rPr>
        <w:t xml:space="preserve"> weltweit 1</w:t>
      </w:r>
      <w:r w:rsidR="00211962">
        <w:rPr>
          <w:rFonts w:ascii="Arial" w:hAnsi="Arial"/>
        </w:rPr>
        <w:t>2</w:t>
      </w:r>
      <w:r w:rsidRPr="001E7849">
        <w:rPr>
          <w:rFonts w:ascii="Arial" w:hAnsi="Arial"/>
        </w:rPr>
        <w:t>,</w:t>
      </w:r>
      <w:r w:rsidR="00211962">
        <w:rPr>
          <w:rFonts w:ascii="Arial" w:hAnsi="Arial"/>
        </w:rPr>
        <w:t>0</w:t>
      </w:r>
      <w:r w:rsidRPr="001E7849">
        <w:rPr>
          <w:rFonts w:ascii="Arial" w:hAnsi="Arial"/>
        </w:rPr>
        <w:t xml:space="preserve"> Milliarden Tonnen </w:t>
      </w:r>
      <w:r w:rsidR="00EA18B4">
        <w:rPr>
          <w:rFonts w:ascii="Arial" w:hAnsi="Arial"/>
        </w:rPr>
        <w:t xml:space="preserve">durchschnittlich </w:t>
      </w:r>
      <w:r w:rsidR="001E7849" w:rsidRPr="001E7849">
        <w:rPr>
          <w:rFonts w:ascii="Arial" w:hAnsi="Arial"/>
        </w:rPr>
        <w:t>4</w:t>
      </w:r>
      <w:r w:rsidRPr="001E7849">
        <w:rPr>
          <w:rFonts w:ascii="Arial" w:hAnsi="Arial"/>
        </w:rPr>
        <w:t>.</w:t>
      </w:r>
      <w:r w:rsidR="001E7849" w:rsidRPr="001E7849">
        <w:rPr>
          <w:rFonts w:ascii="Arial" w:hAnsi="Arial"/>
        </w:rPr>
        <w:t>90</w:t>
      </w:r>
      <w:r w:rsidR="00E17E73" w:rsidRPr="001E7849">
        <w:rPr>
          <w:rFonts w:ascii="Arial" w:hAnsi="Arial"/>
        </w:rPr>
        <w:t>0</w:t>
      </w:r>
      <w:r w:rsidRPr="001E7849">
        <w:rPr>
          <w:rFonts w:ascii="Arial" w:hAnsi="Arial"/>
        </w:rPr>
        <w:t xml:space="preserve"> Seemeilen weit transportiert</w:t>
      </w:r>
      <w:r w:rsidR="007D14A2" w:rsidRPr="001E7849">
        <w:rPr>
          <w:rFonts w:ascii="Arial" w:hAnsi="Arial"/>
        </w:rPr>
        <w:t xml:space="preserve"> – insgesamt</w:t>
      </w:r>
      <w:r w:rsidR="001E7849" w:rsidRPr="001E7849">
        <w:rPr>
          <w:rFonts w:ascii="Arial" w:hAnsi="Arial"/>
        </w:rPr>
        <w:t xml:space="preserve"> </w:t>
      </w:r>
      <w:r w:rsidR="007D14A2" w:rsidRPr="001E7849">
        <w:rPr>
          <w:rFonts w:ascii="Arial" w:hAnsi="Arial"/>
        </w:rPr>
        <w:t>5</w:t>
      </w:r>
      <w:r w:rsidR="00211962">
        <w:rPr>
          <w:rFonts w:ascii="Arial" w:hAnsi="Arial"/>
        </w:rPr>
        <w:t>9</w:t>
      </w:r>
      <w:r w:rsidR="007D14A2" w:rsidRPr="001E7849">
        <w:rPr>
          <w:rFonts w:ascii="Arial" w:hAnsi="Arial"/>
        </w:rPr>
        <w:t>.</w:t>
      </w:r>
      <w:r w:rsidR="00211962">
        <w:rPr>
          <w:rFonts w:ascii="Arial" w:hAnsi="Arial"/>
        </w:rPr>
        <w:t>369</w:t>
      </w:r>
      <w:r w:rsidR="007D14A2" w:rsidRPr="001E7849">
        <w:rPr>
          <w:rFonts w:ascii="Arial" w:hAnsi="Arial"/>
        </w:rPr>
        <w:t xml:space="preserve"> Milliarden Tonnen-Meilen</w:t>
      </w:r>
      <w:r w:rsidRPr="001E7849">
        <w:rPr>
          <w:rFonts w:ascii="Arial" w:hAnsi="Arial"/>
        </w:rPr>
        <w:t>.</w:t>
      </w:r>
    </w:p>
    <w:p w14:paraId="781E6595" w14:textId="77777777" w:rsidR="00E1606B" w:rsidRPr="00E024E2" w:rsidRDefault="00E1606B" w:rsidP="00E1606B">
      <w:pPr>
        <w:rPr>
          <w:rFonts w:ascii="Arial" w:hAnsi="Arial"/>
        </w:rPr>
      </w:pPr>
    </w:p>
    <w:p w14:paraId="42411E81" w14:textId="5A7B25A6" w:rsidR="00DC7ACA" w:rsidRPr="00E024E2" w:rsidRDefault="000074CC" w:rsidP="00E1606B">
      <w:pPr>
        <w:rPr>
          <w:rFonts w:ascii="Arial" w:hAnsi="Arial"/>
        </w:rPr>
      </w:pPr>
      <w:r>
        <w:rPr>
          <w:rFonts w:ascii="Arial" w:hAnsi="Arial"/>
        </w:rPr>
        <w:t xml:space="preserve">Laut </w:t>
      </w:r>
      <w:proofErr w:type="spellStart"/>
      <w:r w:rsidR="00AE4D16">
        <w:rPr>
          <w:rFonts w:ascii="Arial" w:hAnsi="Arial"/>
        </w:rPr>
        <w:t>Clarkson</w:t>
      </w:r>
      <w:proofErr w:type="spellEnd"/>
      <w:r w:rsidR="00495D6B">
        <w:rPr>
          <w:rFonts w:ascii="Arial" w:hAnsi="Arial"/>
        </w:rPr>
        <w:t xml:space="preserve"> </w:t>
      </w:r>
      <w:r w:rsidR="00DC7ACA">
        <w:rPr>
          <w:rFonts w:ascii="Arial" w:hAnsi="Arial"/>
        </w:rPr>
        <w:t xml:space="preserve">entfiel im Jahr 2022 </w:t>
      </w:r>
      <w:r w:rsidR="00263C75">
        <w:rPr>
          <w:rFonts w:ascii="Arial" w:hAnsi="Arial"/>
        </w:rPr>
        <w:t xml:space="preserve">mit 48,3 Prozent </w:t>
      </w:r>
      <w:r w:rsidR="00DC7ACA">
        <w:rPr>
          <w:rFonts w:ascii="Arial" w:hAnsi="Arial"/>
        </w:rPr>
        <w:t xml:space="preserve">knapp die Hälfte des </w:t>
      </w:r>
      <w:r w:rsidR="00DC7ACA" w:rsidRPr="00FB422B">
        <w:rPr>
          <w:rFonts w:ascii="Arial" w:hAnsi="Arial"/>
        </w:rPr>
        <w:t>Seefrachtaufkommen</w:t>
      </w:r>
      <w:r w:rsidR="00DC7ACA">
        <w:rPr>
          <w:rFonts w:ascii="Arial" w:hAnsi="Arial"/>
        </w:rPr>
        <w:t xml:space="preserve">s </w:t>
      </w:r>
      <w:r w:rsidR="00EA18B4">
        <w:rPr>
          <w:rFonts w:ascii="Arial" w:hAnsi="Arial"/>
        </w:rPr>
        <w:t xml:space="preserve">in </w:t>
      </w:r>
      <w:r w:rsidR="00DC7ACA" w:rsidRPr="001E7849">
        <w:rPr>
          <w:rFonts w:ascii="Arial" w:hAnsi="Arial"/>
        </w:rPr>
        <w:t>Tonnen-Meilen</w:t>
      </w:r>
      <w:r w:rsidR="00DC7ACA">
        <w:rPr>
          <w:rFonts w:ascii="Arial" w:hAnsi="Arial"/>
        </w:rPr>
        <w:t xml:space="preserve"> auf trockene Massengüter – </w:t>
      </w:r>
      <w:r w:rsidR="00263C75">
        <w:rPr>
          <w:rFonts w:ascii="Arial" w:hAnsi="Arial"/>
        </w:rPr>
        <w:t xml:space="preserve">allein </w:t>
      </w:r>
      <w:r w:rsidR="00DC7ACA">
        <w:rPr>
          <w:rFonts w:ascii="Arial" w:hAnsi="Arial"/>
        </w:rPr>
        <w:t xml:space="preserve">28,4 Prozent entfielen auf </w:t>
      </w:r>
      <w:r w:rsidR="00495D6B" w:rsidRPr="00495D6B">
        <w:rPr>
          <w:rFonts w:ascii="Arial" w:hAnsi="Arial"/>
        </w:rPr>
        <w:t>Eisenerz</w:t>
      </w:r>
      <w:r w:rsidR="00495D6B">
        <w:rPr>
          <w:rFonts w:ascii="Arial" w:hAnsi="Arial"/>
        </w:rPr>
        <w:t xml:space="preserve"> (</w:t>
      </w:r>
      <w:r w:rsidR="00495D6B" w:rsidRPr="00495D6B">
        <w:rPr>
          <w:rFonts w:ascii="Arial" w:hAnsi="Arial"/>
        </w:rPr>
        <w:t>13,6</w:t>
      </w:r>
      <w:r w:rsidR="00495D6B">
        <w:rPr>
          <w:rFonts w:ascii="Arial" w:hAnsi="Arial"/>
        </w:rPr>
        <w:t xml:space="preserve"> Prozent)</w:t>
      </w:r>
      <w:r w:rsidR="00495D6B" w:rsidRPr="00495D6B">
        <w:rPr>
          <w:rFonts w:ascii="Arial" w:hAnsi="Arial"/>
        </w:rPr>
        <w:t>, Kohle</w:t>
      </w:r>
      <w:r w:rsidR="00495D6B">
        <w:rPr>
          <w:rFonts w:ascii="Arial" w:hAnsi="Arial"/>
        </w:rPr>
        <w:t xml:space="preserve"> (</w:t>
      </w:r>
      <w:r w:rsidR="00495D6B" w:rsidRPr="00495D6B">
        <w:rPr>
          <w:rFonts w:ascii="Arial" w:hAnsi="Arial"/>
        </w:rPr>
        <w:t>8,4</w:t>
      </w:r>
      <w:r w:rsidR="00495D6B">
        <w:rPr>
          <w:rFonts w:ascii="Arial" w:hAnsi="Arial"/>
        </w:rPr>
        <w:t xml:space="preserve"> Prozent) </w:t>
      </w:r>
      <w:r w:rsidR="00495D6B" w:rsidRPr="00495D6B">
        <w:rPr>
          <w:rFonts w:ascii="Arial" w:hAnsi="Arial"/>
        </w:rPr>
        <w:t>und Getreide</w:t>
      </w:r>
      <w:r w:rsidR="00495D6B">
        <w:rPr>
          <w:rFonts w:ascii="Arial" w:hAnsi="Arial"/>
        </w:rPr>
        <w:t xml:space="preserve"> (</w:t>
      </w:r>
      <w:r w:rsidR="00495D6B" w:rsidRPr="00495D6B">
        <w:rPr>
          <w:rFonts w:ascii="Arial" w:hAnsi="Arial"/>
        </w:rPr>
        <w:t>6,3</w:t>
      </w:r>
      <w:r w:rsidR="00495D6B">
        <w:rPr>
          <w:rFonts w:ascii="Arial" w:hAnsi="Arial"/>
        </w:rPr>
        <w:t xml:space="preserve"> Prozent). </w:t>
      </w:r>
      <w:r w:rsidR="00DC7ACA">
        <w:rPr>
          <w:rFonts w:ascii="Arial" w:hAnsi="Arial"/>
        </w:rPr>
        <w:t xml:space="preserve">Der </w:t>
      </w:r>
      <w:r w:rsidR="00DC7ACA" w:rsidRPr="00263C75">
        <w:rPr>
          <w:rFonts w:ascii="Arial" w:hAnsi="Arial"/>
        </w:rPr>
        <w:t xml:space="preserve">Containertransport hatte </w:t>
      </w:r>
      <w:r w:rsidR="00263C75">
        <w:rPr>
          <w:rFonts w:ascii="Arial" w:hAnsi="Arial"/>
        </w:rPr>
        <w:t xml:space="preserve">im selben Jahr </w:t>
      </w:r>
      <w:r w:rsidR="00DC7ACA" w:rsidRPr="00263C75">
        <w:rPr>
          <w:rFonts w:ascii="Arial" w:hAnsi="Arial"/>
        </w:rPr>
        <w:t>einen Anteil von 14,</w:t>
      </w:r>
      <w:r w:rsidR="00263C75" w:rsidRPr="00263C75">
        <w:rPr>
          <w:rFonts w:ascii="Arial" w:hAnsi="Arial"/>
        </w:rPr>
        <w:t>5</w:t>
      </w:r>
      <w:r w:rsidR="00DC7ACA" w:rsidRPr="00263C75">
        <w:rPr>
          <w:rFonts w:ascii="Arial" w:hAnsi="Arial"/>
        </w:rPr>
        <w:t xml:space="preserve"> Prozent</w:t>
      </w:r>
      <w:r w:rsidR="00263C75" w:rsidRPr="00263C75">
        <w:rPr>
          <w:rFonts w:ascii="Arial" w:hAnsi="Arial"/>
        </w:rPr>
        <w:t>. B</w:t>
      </w:r>
      <w:r w:rsidR="00DC7ACA" w:rsidRPr="00263C75">
        <w:rPr>
          <w:rFonts w:ascii="Arial" w:hAnsi="Arial"/>
        </w:rPr>
        <w:t>ei Öl</w:t>
      </w:r>
      <w:r w:rsidR="00263C75" w:rsidRPr="00263C75">
        <w:rPr>
          <w:rFonts w:ascii="Arial" w:hAnsi="Arial"/>
        </w:rPr>
        <w:t xml:space="preserve"> und </w:t>
      </w:r>
      <w:r w:rsidR="00DC7ACA" w:rsidRPr="00263C75">
        <w:rPr>
          <w:rFonts w:ascii="Arial" w:hAnsi="Arial"/>
        </w:rPr>
        <w:t xml:space="preserve">Gas waren es </w:t>
      </w:r>
      <w:r w:rsidR="00263C75" w:rsidRPr="00263C75">
        <w:rPr>
          <w:rFonts w:ascii="Arial" w:hAnsi="Arial"/>
        </w:rPr>
        <w:t xml:space="preserve">22,5 und 4,0 Prozent, bei Chemikalien 2,6 Prozent. </w:t>
      </w:r>
      <w:r w:rsidR="00263C75">
        <w:rPr>
          <w:rFonts w:ascii="Arial" w:hAnsi="Arial"/>
        </w:rPr>
        <w:t>Der Anteil der trockenen Massengüter am gesamten S</w:t>
      </w:r>
      <w:r w:rsidR="00263C75" w:rsidRPr="00FB422B">
        <w:rPr>
          <w:rFonts w:ascii="Arial" w:hAnsi="Arial"/>
        </w:rPr>
        <w:t>eefrachtaufkommen</w:t>
      </w:r>
      <w:r w:rsidR="00263C75">
        <w:rPr>
          <w:rFonts w:ascii="Arial" w:hAnsi="Arial"/>
        </w:rPr>
        <w:t xml:space="preserve"> erhöhte sich im Zeitraum 2000 bis 2022 </w:t>
      </w:r>
      <w:r w:rsidR="00AF4C8B">
        <w:rPr>
          <w:rFonts w:ascii="Arial" w:hAnsi="Arial"/>
        </w:rPr>
        <w:t>von 39,5 auf 48,3 Prozent – also um 8,8 Prozentpunkte. Der Anteil des Öls sank in dieser Zeit hingegen um 9,9 Prozentpunkte – von knapp einem Drittel auf gut ein Fünftel. Trotz des sinkenden Anteils nahm das S</w:t>
      </w:r>
      <w:r w:rsidR="00AF4C8B" w:rsidRPr="00FB422B">
        <w:rPr>
          <w:rFonts w:ascii="Arial" w:hAnsi="Arial"/>
        </w:rPr>
        <w:t>eefrachtaufkommen</w:t>
      </w:r>
      <w:r w:rsidR="00AF4C8B">
        <w:rPr>
          <w:rFonts w:ascii="Arial" w:hAnsi="Arial"/>
        </w:rPr>
        <w:t xml:space="preserve"> beim Öl von 2000 bis 2022 von 9.700 auf gut 13.300 </w:t>
      </w:r>
      <w:r w:rsidR="00AF4C8B" w:rsidRPr="001E7849">
        <w:rPr>
          <w:rFonts w:ascii="Arial" w:hAnsi="Arial"/>
        </w:rPr>
        <w:t>Milliarden Tonnen-Meilen</w:t>
      </w:r>
      <w:r w:rsidR="00AF4C8B">
        <w:rPr>
          <w:rFonts w:ascii="Arial" w:hAnsi="Arial"/>
        </w:rPr>
        <w:t xml:space="preserve"> zu.</w:t>
      </w:r>
    </w:p>
    <w:p w14:paraId="1CE89304" w14:textId="77777777" w:rsidR="00E1606B" w:rsidRPr="00E024E2" w:rsidRDefault="00E1606B" w:rsidP="00E1606B">
      <w:pPr>
        <w:rPr>
          <w:rFonts w:ascii="Arial" w:hAnsi="Arial"/>
        </w:rPr>
      </w:pPr>
    </w:p>
    <w:p w14:paraId="6A37202C" w14:textId="70D26E99" w:rsidR="00F86CA4" w:rsidRDefault="00F55E2F" w:rsidP="00F86CA4">
      <w:pPr>
        <w:rPr>
          <w:rFonts w:ascii="Arial" w:hAnsi="Arial"/>
        </w:rPr>
      </w:pPr>
      <w:r w:rsidRPr="00FB422B">
        <w:rPr>
          <w:rFonts w:ascii="Arial" w:hAnsi="Arial"/>
        </w:rPr>
        <w:t>Insgesamt erhöhte sich das Seefrachtaufkommen allein zwischen 2000 und 201</w:t>
      </w:r>
      <w:r w:rsidR="00FB422B" w:rsidRPr="00FB422B">
        <w:rPr>
          <w:rFonts w:ascii="Arial" w:hAnsi="Arial"/>
        </w:rPr>
        <w:t>9</w:t>
      </w:r>
      <w:r w:rsidRPr="00FB422B">
        <w:rPr>
          <w:rFonts w:ascii="Arial" w:hAnsi="Arial"/>
        </w:rPr>
        <w:t xml:space="preserve"> um </w:t>
      </w:r>
      <w:r w:rsidR="00874A3A">
        <w:rPr>
          <w:rFonts w:ascii="Arial" w:hAnsi="Arial"/>
        </w:rPr>
        <w:t xml:space="preserve">95 </w:t>
      </w:r>
      <w:r w:rsidRPr="00FB422B">
        <w:rPr>
          <w:rFonts w:ascii="Arial" w:hAnsi="Arial"/>
        </w:rPr>
        <w:t xml:space="preserve">Prozent (von </w:t>
      </w:r>
      <w:r w:rsidR="00874A3A">
        <w:rPr>
          <w:rFonts w:ascii="Arial" w:hAnsi="Arial"/>
        </w:rPr>
        <w:t>rund</w:t>
      </w:r>
      <w:r w:rsidRPr="00FB422B">
        <w:rPr>
          <w:rFonts w:ascii="Arial" w:hAnsi="Arial"/>
        </w:rPr>
        <w:t xml:space="preserve"> </w:t>
      </w:r>
      <w:r w:rsidR="00874A3A">
        <w:rPr>
          <w:rFonts w:ascii="Arial" w:hAnsi="Arial"/>
        </w:rPr>
        <w:t>29</w:t>
      </w:r>
      <w:r w:rsidRPr="00FB422B">
        <w:rPr>
          <w:rFonts w:ascii="Arial" w:hAnsi="Arial"/>
        </w:rPr>
        <w:t>.</w:t>
      </w:r>
      <w:r w:rsidR="00874A3A">
        <w:rPr>
          <w:rFonts w:ascii="Arial" w:hAnsi="Arial"/>
        </w:rPr>
        <w:t>9</w:t>
      </w:r>
      <w:r w:rsidRPr="00FB422B">
        <w:rPr>
          <w:rFonts w:ascii="Arial" w:hAnsi="Arial"/>
        </w:rPr>
        <w:t xml:space="preserve">00 auf </w:t>
      </w:r>
      <w:r w:rsidR="00874A3A">
        <w:rPr>
          <w:rFonts w:ascii="Arial" w:hAnsi="Arial"/>
        </w:rPr>
        <w:t xml:space="preserve">gut </w:t>
      </w:r>
      <w:r w:rsidRPr="00FB422B">
        <w:rPr>
          <w:rFonts w:ascii="Arial" w:hAnsi="Arial"/>
        </w:rPr>
        <w:t>5</w:t>
      </w:r>
      <w:r w:rsidR="00874A3A">
        <w:rPr>
          <w:rFonts w:ascii="Arial" w:hAnsi="Arial"/>
        </w:rPr>
        <w:t>8</w:t>
      </w:r>
      <w:r w:rsidRPr="00FB422B">
        <w:rPr>
          <w:rFonts w:ascii="Arial" w:hAnsi="Arial"/>
        </w:rPr>
        <w:t>.</w:t>
      </w:r>
      <w:r w:rsidR="00874A3A">
        <w:rPr>
          <w:rFonts w:ascii="Arial" w:hAnsi="Arial"/>
        </w:rPr>
        <w:t>300</w:t>
      </w:r>
      <w:r w:rsidRPr="00FB422B">
        <w:rPr>
          <w:rFonts w:ascii="Arial" w:hAnsi="Arial"/>
        </w:rPr>
        <w:t xml:space="preserve"> Mrd. Tonnen-Meilen</w:t>
      </w:r>
      <w:r w:rsidR="00FB422B" w:rsidRPr="00FB422B">
        <w:rPr>
          <w:rFonts w:ascii="Arial" w:hAnsi="Arial"/>
        </w:rPr>
        <w:t>).</w:t>
      </w:r>
      <w:r w:rsidR="00962068">
        <w:rPr>
          <w:rFonts w:ascii="Arial" w:hAnsi="Arial"/>
        </w:rPr>
        <w:t xml:space="preserve"> </w:t>
      </w:r>
      <w:r w:rsidR="00AE4D16">
        <w:rPr>
          <w:rFonts w:ascii="Arial" w:hAnsi="Arial"/>
        </w:rPr>
        <w:t xml:space="preserve">Nach Schätzungen für das Jahr 2023 hat </w:t>
      </w:r>
      <w:r w:rsidR="00962068" w:rsidRPr="00962068">
        <w:rPr>
          <w:rFonts w:ascii="Arial" w:hAnsi="Arial"/>
        </w:rPr>
        <w:t xml:space="preserve">sich das Seefrachtaufkommen </w:t>
      </w:r>
      <w:r w:rsidR="00AE4D16">
        <w:rPr>
          <w:rFonts w:ascii="Arial" w:hAnsi="Arial"/>
        </w:rPr>
        <w:t xml:space="preserve">seit 1970 </w:t>
      </w:r>
      <w:r w:rsidR="00962068" w:rsidRPr="00962068">
        <w:rPr>
          <w:rFonts w:ascii="Arial" w:hAnsi="Arial"/>
        </w:rPr>
        <w:t>etwa versechsfacht.</w:t>
      </w:r>
      <w:r w:rsidR="00E1606B">
        <w:rPr>
          <w:rFonts w:ascii="Arial" w:hAnsi="Arial"/>
        </w:rPr>
        <w:t xml:space="preserve"> </w:t>
      </w:r>
      <w:r w:rsidR="004102FE" w:rsidRPr="00526E49">
        <w:rPr>
          <w:rFonts w:ascii="Arial" w:hAnsi="Arial"/>
        </w:rPr>
        <w:t>Die Bedeutung des Seehandels ist vor allem aufgrund der relativ geringen Frachtkosten gestiegen. So kostet</w:t>
      </w:r>
      <w:r w:rsidR="007B0AED" w:rsidRPr="00526E49">
        <w:rPr>
          <w:rFonts w:ascii="Arial" w:hAnsi="Arial"/>
        </w:rPr>
        <w:t xml:space="preserve">e beispielsweise </w:t>
      </w:r>
      <w:r w:rsidR="004102FE" w:rsidRPr="00526E49">
        <w:rPr>
          <w:rFonts w:ascii="Arial" w:hAnsi="Arial"/>
        </w:rPr>
        <w:t>der Transport eines TEU-Containers</w:t>
      </w:r>
      <w:r w:rsidR="00F5618F" w:rsidRPr="00526E49">
        <w:rPr>
          <w:rFonts w:ascii="Arial" w:hAnsi="Arial"/>
        </w:rPr>
        <w:t xml:space="preserve"> </w:t>
      </w:r>
      <w:r w:rsidR="004102FE" w:rsidRPr="00526E49">
        <w:rPr>
          <w:rFonts w:ascii="Arial" w:hAnsi="Arial"/>
        </w:rPr>
        <w:t xml:space="preserve">von Asien </w:t>
      </w:r>
      <w:r w:rsidR="007B0AED" w:rsidRPr="00526E49">
        <w:rPr>
          <w:rFonts w:ascii="Arial" w:hAnsi="Arial"/>
        </w:rPr>
        <w:t xml:space="preserve">(Shanghai) </w:t>
      </w:r>
      <w:r w:rsidR="004102FE" w:rsidRPr="00526E49">
        <w:rPr>
          <w:rFonts w:ascii="Arial" w:hAnsi="Arial"/>
        </w:rPr>
        <w:t xml:space="preserve">nach </w:t>
      </w:r>
      <w:r w:rsidR="007B0AED" w:rsidRPr="00526E49">
        <w:rPr>
          <w:rFonts w:ascii="Arial" w:hAnsi="Arial"/>
        </w:rPr>
        <w:t>Norde</w:t>
      </w:r>
      <w:r w:rsidR="004102FE" w:rsidRPr="00526E49">
        <w:rPr>
          <w:rFonts w:ascii="Arial" w:hAnsi="Arial"/>
        </w:rPr>
        <w:t xml:space="preserve">uropa </w:t>
      </w:r>
      <w:r w:rsidR="007B0AED" w:rsidRPr="00526E49">
        <w:rPr>
          <w:rFonts w:ascii="Arial" w:hAnsi="Arial"/>
        </w:rPr>
        <w:t>im Jahr 201</w:t>
      </w:r>
      <w:r w:rsidR="00526E49" w:rsidRPr="00526E49">
        <w:rPr>
          <w:rFonts w:ascii="Arial" w:hAnsi="Arial"/>
        </w:rPr>
        <w:t>2</w:t>
      </w:r>
      <w:r w:rsidR="007B0AED" w:rsidRPr="00526E49">
        <w:rPr>
          <w:rFonts w:ascii="Arial" w:hAnsi="Arial"/>
        </w:rPr>
        <w:t xml:space="preserve"> lediglich 1.</w:t>
      </w:r>
      <w:r w:rsidR="00526E49" w:rsidRPr="00526E49">
        <w:rPr>
          <w:rFonts w:ascii="Arial" w:hAnsi="Arial"/>
        </w:rPr>
        <w:t>353</w:t>
      </w:r>
      <w:r w:rsidR="007B0AED" w:rsidRPr="00526E49">
        <w:rPr>
          <w:rFonts w:ascii="Arial" w:hAnsi="Arial"/>
        </w:rPr>
        <w:t xml:space="preserve"> US-Dollar</w:t>
      </w:r>
      <w:r w:rsidR="00526E49" w:rsidRPr="00526E49">
        <w:rPr>
          <w:rFonts w:ascii="Arial" w:hAnsi="Arial"/>
        </w:rPr>
        <w:t xml:space="preserve"> und </w:t>
      </w:r>
      <w:r w:rsidR="00F86CA4">
        <w:rPr>
          <w:rFonts w:ascii="Arial" w:hAnsi="Arial"/>
        </w:rPr>
        <w:t xml:space="preserve">im Jahr </w:t>
      </w:r>
      <w:r w:rsidR="00526E49" w:rsidRPr="00526E49">
        <w:rPr>
          <w:rFonts w:ascii="Arial" w:hAnsi="Arial"/>
        </w:rPr>
        <w:t>2019 mit 760 US-Dollar nochmals weniger</w:t>
      </w:r>
      <w:r w:rsidR="007B0AED" w:rsidRPr="00526E49">
        <w:rPr>
          <w:rFonts w:ascii="Arial" w:hAnsi="Arial"/>
        </w:rPr>
        <w:t>.</w:t>
      </w:r>
      <w:r w:rsidR="00E1606B">
        <w:rPr>
          <w:rFonts w:ascii="Arial" w:hAnsi="Arial"/>
        </w:rPr>
        <w:t xml:space="preserve"> </w:t>
      </w:r>
      <w:r w:rsidR="00F86CA4" w:rsidRPr="00C5051E">
        <w:rPr>
          <w:rFonts w:ascii="Arial" w:hAnsi="Arial"/>
        </w:rPr>
        <w:t>Ein wichtiger Grund für die relativ sinkenden Transportkosten ist die Beschleunigung im Bereich der Logistik, insbesondere durch die Verbreitung der standardisierenden Containerschifffahrt sowie die steigende Tragfähigkeit der Schiffe.</w:t>
      </w:r>
    </w:p>
    <w:p w14:paraId="53E9CF54" w14:textId="77777777" w:rsidR="00E1606B" w:rsidRDefault="00E1606B" w:rsidP="00F86CA4">
      <w:pPr>
        <w:rPr>
          <w:rFonts w:ascii="Arial" w:hAnsi="Arial"/>
        </w:rPr>
      </w:pPr>
    </w:p>
    <w:p w14:paraId="50F527A6" w14:textId="695CFC32" w:rsidR="00F86CA4" w:rsidRDefault="006438FA" w:rsidP="00F86CA4">
      <w:pPr>
        <w:rPr>
          <w:rFonts w:ascii="Arial" w:hAnsi="Arial"/>
        </w:rPr>
      </w:pPr>
      <w:r>
        <w:rPr>
          <w:rFonts w:ascii="Arial" w:hAnsi="Arial"/>
        </w:rPr>
        <w:t xml:space="preserve">In den fünf Staaten mit den meisten Hafenanläufen im Jahr 2022 lag die durchschnittliche </w:t>
      </w:r>
      <w:proofErr w:type="spellStart"/>
      <w:r w:rsidR="00A915F6">
        <w:rPr>
          <w:rFonts w:ascii="Arial" w:hAnsi="Arial"/>
        </w:rPr>
        <w:t>Be</w:t>
      </w:r>
      <w:proofErr w:type="spellEnd"/>
      <w:r>
        <w:rPr>
          <w:rFonts w:ascii="Arial" w:hAnsi="Arial"/>
        </w:rPr>
        <w:t xml:space="preserve">- oder </w:t>
      </w:r>
      <w:r w:rsidR="00A915F6">
        <w:rPr>
          <w:rFonts w:ascii="Arial" w:hAnsi="Arial"/>
        </w:rPr>
        <w:t>Ent</w:t>
      </w:r>
      <w:r>
        <w:rPr>
          <w:rFonts w:ascii="Arial" w:hAnsi="Arial"/>
        </w:rPr>
        <w:t xml:space="preserve">ladungsdauer in </w:t>
      </w:r>
      <w:r w:rsidR="00A915F6">
        <w:rPr>
          <w:rFonts w:ascii="Arial" w:hAnsi="Arial"/>
        </w:rPr>
        <w:t xml:space="preserve">den Häfen von </w:t>
      </w:r>
      <w:r>
        <w:rPr>
          <w:rFonts w:ascii="Arial" w:hAnsi="Arial"/>
        </w:rPr>
        <w:t>China, Malaysia</w:t>
      </w:r>
      <w:r w:rsidR="00A915F6">
        <w:rPr>
          <w:rFonts w:ascii="Arial" w:hAnsi="Arial"/>
        </w:rPr>
        <w:t xml:space="preserve"> und </w:t>
      </w:r>
      <w:r>
        <w:rPr>
          <w:rFonts w:ascii="Arial" w:hAnsi="Arial"/>
        </w:rPr>
        <w:t xml:space="preserve">Singapur bei rund 25 Sekunden pro Container, in Südkorea war es eine halbe Minute und in den USA gut eine Minute (jeweils </w:t>
      </w:r>
      <w:r w:rsidR="00A915F6">
        <w:rPr>
          <w:rFonts w:ascii="Arial" w:hAnsi="Arial"/>
        </w:rPr>
        <w:t xml:space="preserve">bezogen auf </w:t>
      </w:r>
      <w:proofErr w:type="spellStart"/>
      <w:r w:rsidR="00A915F6">
        <w:rPr>
          <w:rFonts w:ascii="Arial" w:hAnsi="Arial"/>
        </w:rPr>
        <w:t>Be</w:t>
      </w:r>
      <w:proofErr w:type="spellEnd"/>
      <w:r w:rsidR="00A915F6">
        <w:rPr>
          <w:rFonts w:ascii="Arial" w:hAnsi="Arial"/>
        </w:rPr>
        <w:t xml:space="preserve">- und Entladungen </w:t>
      </w:r>
      <w:r>
        <w:rPr>
          <w:rFonts w:ascii="Arial" w:hAnsi="Arial"/>
        </w:rPr>
        <w:t xml:space="preserve">mit mehr </w:t>
      </w:r>
      <w:r>
        <w:rPr>
          <w:rFonts w:ascii="Arial" w:hAnsi="Arial"/>
        </w:rPr>
        <w:lastRenderedPageBreak/>
        <w:t>als 6.000 Containern).</w:t>
      </w:r>
      <w:r w:rsidR="00E1606B">
        <w:rPr>
          <w:rFonts w:ascii="Arial" w:hAnsi="Arial"/>
        </w:rPr>
        <w:t xml:space="preserve"> </w:t>
      </w:r>
      <w:r>
        <w:rPr>
          <w:rFonts w:ascii="Arial" w:hAnsi="Arial"/>
        </w:rPr>
        <w:t>W</w:t>
      </w:r>
      <w:r w:rsidR="00F86CA4" w:rsidRPr="000830D1">
        <w:rPr>
          <w:rFonts w:ascii="Arial" w:hAnsi="Arial"/>
        </w:rPr>
        <w:t>ährend das größte Schiff 1968 752 TEU-Container laden konnte, war zwei Jahrzehnte später bereits die 4.000er-Marke überschritten. Mitte 2009 waren die Schiffe der sogenannten Emma-</w:t>
      </w:r>
      <w:proofErr w:type="spellStart"/>
      <w:r w:rsidR="00F86CA4" w:rsidRPr="000830D1">
        <w:rPr>
          <w:rFonts w:ascii="Arial" w:hAnsi="Arial"/>
        </w:rPr>
        <w:t>Maersk</w:t>
      </w:r>
      <w:proofErr w:type="spellEnd"/>
      <w:r w:rsidR="00F86CA4" w:rsidRPr="000830D1">
        <w:rPr>
          <w:rFonts w:ascii="Arial" w:hAnsi="Arial"/>
        </w:rPr>
        <w:t xml:space="preserve">-Klasse der dänischen Reederei </w:t>
      </w:r>
      <w:proofErr w:type="spellStart"/>
      <w:r w:rsidR="00F86CA4" w:rsidRPr="000830D1">
        <w:rPr>
          <w:rFonts w:ascii="Arial" w:hAnsi="Arial"/>
        </w:rPr>
        <w:t>Maersk</w:t>
      </w:r>
      <w:proofErr w:type="spellEnd"/>
      <w:r w:rsidR="00F86CA4" w:rsidRPr="000830D1">
        <w:rPr>
          <w:rFonts w:ascii="Arial" w:hAnsi="Arial"/>
        </w:rPr>
        <w:t xml:space="preserve"> mit einer Ladefähigkeit von 11.000 TEU-Containern die größten der Welt. </w:t>
      </w:r>
      <w:r w:rsidR="007D65F9">
        <w:rPr>
          <w:rFonts w:ascii="Arial" w:hAnsi="Arial"/>
        </w:rPr>
        <w:t>M</w:t>
      </w:r>
      <w:r w:rsidR="007D65F9" w:rsidRPr="000830D1">
        <w:rPr>
          <w:rFonts w:ascii="Arial" w:hAnsi="Arial"/>
        </w:rPr>
        <w:t xml:space="preserve">it den Schiffen der Reederei China </w:t>
      </w:r>
      <w:proofErr w:type="spellStart"/>
      <w:r w:rsidR="007D65F9" w:rsidRPr="000830D1">
        <w:rPr>
          <w:rFonts w:ascii="Arial" w:hAnsi="Arial"/>
        </w:rPr>
        <w:t>Shipping</w:t>
      </w:r>
      <w:proofErr w:type="spellEnd"/>
      <w:r w:rsidR="007D65F9" w:rsidRPr="000830D1">
        <w:rPr>
          <w:rFonts w:ascii="Arial" w:hAnsi="Arial"/>
        </w:rPr>
        <w:t xml:space="preserve"> Container Lines </w:t>
      </w:r>
      <w:r w:rsidR="007D65F9">
        <w:rPr>
          <w:rFonts w:ascii="Arial" w:hAnsi="Arial"/>
        </w:rPr>
        <w:t xml:space="preserve">wurde </w:t>
      </w:r>
      <w:r w:rsidR="00F86CA4" w:rsidRPr="000830D1">
        <w:rPr>
          <w:rFonts w:ascii="Arial" w:hAnsi="Arial"/>
        </w:rPr>
        <w:t>2014 die 19.000er-Marke erreicht.</w:t>
      </w:r>
      <w:r w:rsidR="00E1606B">
        <w:rPr>
          <w:rFonts w:ascii="Arial" w:hAnsi="Arial"/>
        </w:rPr>
        <w:t xml:space="preserve"> </w:t>
      </w:r>
      <w:r w:rsidR="007D65F9">
        <w:rPr>
          <w:rFonts w:ascii="Arial" w:hAnsi="Arial"/>
        </w:rPr>
        <w:t xml:space="preserve">Im Jahr </w:t>
      </w:r>
      <w:r w:rsidR="000830D1" w:rsidRPr="000830D1">
        <w:rPr>
          <w:rFonts w:ascii="Arial" w:hAnsi="Arial"/>
        </w:rPr>
        <w:t xml:space="preserve">2022 wurde mit der </w:t>
      </w:r>
      <w:proofErr w:type="spellStart"/>
      <w:r w:rsidR="000830D1" w:rsidRPr="000830D1">
        <w:rPr>
          <w:rFonts w:ascii="Arial" w:hAnsi="Arial"/>
        </w:rPr>
        <w:t>Ever</w:t>
      </w:r>
      <w:proofErr w:type="spellEnd"/>
      <w:r w:rsidR="000830D1" w:rsidRPr="000830D1">
        <w:rPr>
          <w:rFonts w:ascii="Arial" w:hAnsi="Arial"/>
        </w:rPr>
        <w:t xml:space="preserve"> </w:t>
      </w:r>
      <w:proofErr w:type="spellStart"/>
      <w:r w:rsidR="000830D1" w:rsidRPr="000830D1">
        <w:rPr>
          <w:rFonts w:ascii="Arial" w:hAnsi="Arial"/>
        </w:rPr>
        <w:t>Alot</w:t>
      </w:r>
      <w:proofErr w:type="spellEnd"/>
      <w:r w:rsidR="000830D1" w:rsidRPr="000830D1">
        <w:rPr>
          <w:rFonts w:ascii="Arial" w:hAnsi="Arial"/>
        </w:rPr>
        <w:t xml:space="preserve"> das erst</w:t>
      </w:r>
      <w:r w:rsidR="00692B2D">
        <w:rPr>
          <w:rFonts w:ascii="Arial" w:hAnsi="Arial"/>
        </w:rPr>
        <w:t>e</w:t>
      </w:r>
      <w:r w:rsidR="000830D1" w:rsidRPr="000830D1">
        <w:rPr>
          <w:rFonts w:ascii="Arial" w:hAnsi="Arial"/>
        </w:rPr>
        <w:t xml:space="preserve"> </w:t>
      </w:r>
      <w:r w:rsidR="00F86CA4" w:rsidRPr="000830D1">
        <w:rPr>
          <w:rFonts w:ascii="Arial" w:hAnsi="Arial"/>
        </w:rPr>
        <w:t>Schiff</w:t>
      </w:r>
      <w:r w:rsidR="000830D1" w:rsidRPr="000830D1">
        <w:rPr>
          <w:rFonts w:ascii="Arial" w:hAnsi="Arial"/>
        </w:rPr>
        <w:t xml:space="preserve"> </w:t>
      </w:r>
      <w:r w:rsidR="00F86CA4" w:rsidRPr="000830D1">
        <w:rPr>
          <w:rFonts w:ascii="Arial" w:hAnsi="Arial"/>
        </w:rPr>
        <w:t>mit einer Tragfähigkeit von mehr als 2</w:t>
      </w:r>
      <w:r w:rsidR="000830D1" w:rsidRPr="000830D1">
        <w:rPr>
          <w:rFonts w:ascii="Arial" w:hAnsi="Arial"/>
        </w:rPr>
        <w:t>4</w:t>
      </w:r>
      <w:r w:rsidR="00F86CA4" w:rsidRPr="000830D1">
        <w:rPr>
          <w:rFonts w:ascii="Arial" w:hAnsi="Arial"/>
        </w:rPr>
        <w:t>.000 TEU-Containern in Betrieb genommen.</w:t>
      </w:r>
    </w:p>
    <w:p w14:paraId="2F43E8E0" w14:textId="77777777" w:rsidR="00E1606B" w:rsidRDefault="00E1606B" w:rsidP="00F86CA4">
      <w:pPr>
        <w:rPr>
          <w:rFonts w:ascii="Arial" w:hAnsi="Arial"/>
        </w:rPr>
      </w:pPr>
    </w:p>
    <w:p w14:paraId="33F46713" w14:textId="55715694" w:rsidR="008C70E0" w:rsidRDefault="00692B2D" w:rsidP="00A51C5E">
      <w:pPr>
        <w:rPr>
          <w:rFonts w:ascii="Arial" w:hAnsi="Arial"/>
        </w:rPr>
      </w:pPr>
      <w:r>
        <w:rPr>
          <w:rFonts w:ascii="Arial" w:hAnsi="Arial"/>
        </w:rPr>
        <w:t xml:space="preserve">Die </w:t>
      </w:r>
      <w:r w:rsidRPr="00664EA9">
        <w:rPr>
          <w:rFonts w:ascii="Arial" w:hAnsi="Arial"/>
        </w:rPr>
        <w:t xml:space="preserve">Corona-Pandemie </w:t>
      </w:r>
      <w:r>
        <w:rPr>
          <w:rFonts w:ascii="Arial" w:hAnsi="Arial"/>
        </w:rPr>
        <w:t xml:space="preserve">hat die Ausweitung des Seehandels </w:t>
      </w:r>
      <w:r w:rsidR="00A900F9">
        <w:rPr>
          <w:rFonts w:ascii="Arial" w:hAnsi="Arial"/>
        </w:rPr>
        <w:t xml:space="preserve">zwischenzeitlich </w:t>
      </w:r>
      <w:r>
        <w:rPr>
          <w:rFonts w:ascii="Arial" w:hAnsi="Arial"/>
        </w:rPr>
        <w:t>gestoppt.</w:t>
      </w:r>
      <w:r w:rsidR="00915949">
        <w:rPr>
          <w:rFonts w:ascii="Arial" w:hAnsi="Arial"/>
        </w:rPr>
        <w:t xml:space="preserve"> Durch p</w:t>
      </w:r>
      <w:r w:rsidR="00915949" w:rsidRPr="00664EA9">
        <w:rPr>
          <w:rFonts w:ascii="Arial" w:hAnsi="Arial"/>
        </w:rPr>
        <w:t>andemie</w:t>
      </w:r>
      <w:r w:rsidR="00915949">
        <w:rPr>
          <w:rFonts w:ascii="Arial" w:hAnsi="Arial"/>
        </w:rPr>
        <w:t xml:space="preserve">bedingte </w:t>
      </w:r>
      <w:r w:rsidR="006333D2" w:rsidRPr="006333D2">
        <w:rPr>
          <w:rFonts w:ascii="Arial" w:hAnsi="Arial"/>
        </w:rPr>
        <w:t xml:space="preserve">Hafenschließungen </w:t>
      </w:r>
      <w:r w:rsidR="00915949">
        <w:rPr>
          <w:rFonts w:ascii="Arial" w:hAnsi="Arial"/>
        </w:rPr>
        <w:t xml:space="preserve">konnten </w:t>
      </w:r>
      <w:r w:rsidR="006333D2" w:rsidRPr="006333D2">
        <w:rPr>
          <w:rFonts w:ascii="Arial" w:hAnsi="Arial"/>
        </w:rPr>
        <w:t xml:space="preserve">Schiffe und Container </w:t>
      </w:r>
      <w:r w:rsidR="006333D2">
        <w:rPr>
          <w:rFonts w:ascii="Arial" w:hAnsi="Arial"/>
        </w:rPr>
        <w:t xml:space="preserve">häufig nur zeitverzögert </w:t>
      </w:r>
      <w:proofErr w:type="spellStart"/>
      <w:r w:rsidR="006333D2" w:rsidRPr="006333D2">
        <w:rPr>
          <w:rFonts w:ascii="Arial" w:hAnsi="Arial"/>
        </w:rPr>
        <w:t>ent</w:t>
      </w:r>
      <w:proofErr w:type="spellEnd"/>
      <w:r w:rsidR="006333D2" w:rsidRPr="006333D2">
        <w:rPr>
          <w:rFonts w:ascii="Arial" w:hAnsi="Arial"/>
        </w:rPr>
        <w:t xml:space="preserve">- und beladen werden, was wiederum </w:t>
      </w:r>
      <w:r w:rsidR="00A51C5E">
        <w:rPr>
          <w:rFonts w:ascii="Arial" w:hAnsi="Arial"/>
        </w:rPr>
        <w:t xml:space="preserve">zu Logistik-Engpässen bzw. </w:t>
      </w:r>
      <w:r w:rsidR="006333D2" w:rsidRPr="006333D2">
        <w:rPr>
          <w:rFonts w:ascii="Arial" w:hAnsi="Arial"/>
        </w:rPr>
        <w:t>z</w:t>
      </w:r>
      <w:r w:rsidR="006333D2" w:rsidRPr="00664EA9">
        <w:rPr>
          <w:rFonts w:ascii="Arial" w:hAnsi="Arial"/>
        </w:rPr>
        <w:t>u einer starken Steigerung der Container-Frachtkosten</w:t>
      </w:r>
      <w:r w:rsidR="006333D2">
        <w:rPr>
          <w:rFonts w:ascii="Arial" w:hAnsi="Arial"/>
        </w:rPr>
        <w:t xml:space="preserve"> führte </w:t>
      </w:r>
      <w:r w:rsidR="00526E49" w:rsidRPr="00664EA9">
        <w:rPr>
          <w:rFonts w:ascii="Arial" w:hAnsi="Arial"/>
        </w:rPr>
        <w:t>– vor allem i</w:t>
      </w:r>
      <w:r w:rsidR="00664EA9" w:rsidRPr="00664EA9">
        <w:rPr>
          <w:rFonts w:ascii="Arial" w:hAnsi="Arial"/>
        </w:rPr>
        <w:t xml:space="preserve">n den </w:t>
      </w:r>
      <w:r w:rsidR="00526E49" w:rsidRPr="00664EA9">
        <w:rPr>
          <w:rFonts w:ascii="Arial" w:hAnsi="Arial"/>
        </w:rPr>
        <w:t xml:space="preserve">letzten </w:t>
      </w:r>
      <w:r w:rsidR="00664EA9" w:rsidRPr="00664EA9">
        <w:rPr>
          <w:rFonts w:ascii="Arial" w:hAnsi="Arial"/>
        </w:rPr>
        <w:t>Monaten 2021 bzw. ersten Monaten</w:t>
      </w:r>
      <w:r w:rsidR="00526E49" w:rsidRPr="00664EA9">
        <w:rPr>
          <w:rFonts w:ascii="Arial" w:hAnsi="Arial"/>
        </w:rPr>
        <w:t xml:space="preserve"> 2022 </w:t>
      </w:r>
      <w:r w:rsidR="00A900F9">
        <w:rPr>
          <w:rFonts w:ascii="Arial" w:hAnsi="Arial"/>
        </w:rPr>
        <w:t>wurden Spitzenwerte erreicht</w:t>
      </w:r>
      <w:r w:rsidR="008C70E0" w:rsidRPr="00664EA9">
        <w:rPr>
          <w:rFonts w:ascii="Arial" w:hAnsi="Arial"/>
        </w:rPr>
        <w:t>.</w:t>
      </w:r>
      <w:r w:rsidR="00E1606B">
        <w:rPr>
          <w:rFonts w:ascii="Arial" w:hAnsi="Arial"/>
        </w:rPr>
        <w:t xml:space="preserve"> </w:t>
      </w:r>
      <w:r w:rsidR="008C70E0" w:rsidRPr="00664EA9">
        <w:rPr>
          <w:rFonts w:ascii="Arial" w:hAnsi="Arial"/>
        </w:rPr>
        <w:t xml:space="preserve">Beispielsweise kostete </w:t>
      </w:r>
      <w:r w:rsidR="008C70E0" w:rsidRPr="00526E49">
        <w:rPr>
          <w:rFonts w:ascii="Arial" w:hAnsi="Arial"/>
        </w:rPr>
        <w:t xml:space="preserve">im </w:t>
      </w:r>
      <w:r w:rsidR="008C70E0">
        <w:rPr>
          <w:rFonts w:ascii="Arial" w:hAnsi="Arial"/>
        </w:rPr>
        <w:t xml:space="preserve">September </w:t>
      </w:r>
      <w:r w:rsidR="008C70E0" w:rsidRPr="00526E49">
        <w:rPr>
          <w:rFonts w:ascii="Arial" w:hAnsi="Arial"/>
        </w:rPr>
        <w:t>201</w:t>
      </w:r>
      <w:r w:rsidR="008C70E0">
        <w:rPr>
          <w:rFonts w:ascii="Arial" w:hAnsi="Arial"/>
        </w:rPr>
        <w:t xml:space="preserve">9 </w:t>
      </w:r>
      <w:r w:rsidR="008C70E0" w:rsidRPr="00526E49">
        <w:rPr>
          <w:rFonts w:ascii="Arial" w:hAnsi="Arial"/>
        </w:rPr>
        <w:t xml:space="preserve">der Transport eines </w:t>
      </w:r>
      <w:r w:rsidR="008C70E0">
        <w:rPr>
          <w:rFonts w:ascii="Arial" w:hAnsi="Arial"/>
        </w:rPr>
        <w:t>F</w:t>
      </w:r>
      <w:r w:rsidR="008C70E0" w:rsidRPr="00526E49">
        <w:rPr>
          <w:rFonts w:ascii="Arial" w:hAnsi="Arial"/>
        </w:rPr>
        <w:t xml:space="preserve">EU-Containers von Asien </w:t>
      </w:r>
      <w:r w:rsidR="008C70E0">
        <w:rPr>
          <w:rFonts w:ascii="Arial" w:hAnsi="Arial"/>
        </w:rPr>
        <w:t xml:space="preserve">an die Ostküste der USA </w:t>
      </w:r>
      <w:r w:rsidR="00664EA9">
        <w:rPr>
          <w:rFonts w:ascii="Arial" w:hAnsi="Arial"/>
        </w:rPr>
        <w:t>(</w:t>
      </w:r>
      <w:r w:rsidR="00664EA9" w:rsidRPr="00526E49">
        <w:rPr>
          <w:rFonts w:ascii="Arial" w:hAnsi="Arial"/>
        </w:rPr>
        <w:t>Shanghai</w:t>
      </w:r>
      <w:r w:rsidR="00664EA9">
        <w:rPr>
          <w:rFonts w:ascii="Arial" w:hAnsi="Arial"/>
        </w:rPr>
        <w:t xml:space="preserve"> </w:t>
      </w:r>
      <w:r w:rsidR="00664EA9" w:rsidRPr="00664EA9">
        <w:rPr>
          <w:rFonts w:ascii="Arial" w:hAnsi="Arial"/>
        </w:rPr>
        <w:t>–</w:t>
      </w:r>
      <w:r w:rsidR="00664EA9">
        <w:rPr>
          <w:rFonts w:ascii="Arial" w:hAnsi="Arial"/>
        </w:rPr>
        <w:t xml:space="preserve"> New York) </w:t>
      </w:r>
      <w:r w:rsidR="008C70E0">
        <w:rPr>
          <w:rFonts w:ascii="Arial" w:hAnsi="Arial"/>
        </w:rPr>
        <w:t xml:space="preserve">2.325 </w:t>
      </w:r>
      <w:r w:rsidR="008C70E0" w:rsidRPr="00526E49">
        <w:rPr>
          <w:rFonts w:ascii="Arial" w:hAnsi="Arial"/>
        </w:rPr>
        <w:t>US-Dollar</w:t>
      </w:r>
      <w:r w:rsidR="00A900F9">
        <w:rPr>
          <w:rFonts w:ascii="Arial" w:hAnsi="Arial"/>
        </w:rPr>
        <w:t xml:space="preserve">. Bis </w:t>
      </w:r>
      <w:r w:rsidR="008C70E0">
        <w:rPr>
          <w:rFonts w:ascii="Arial" w:hAnsi="Arial"/>
        </w:rPr>
        <w:t xml:space="preserve">September 2021 </w:t>
      </w:r>
      <w:r w:rsidR="00A900F9">
        <w:rPr>
          <w:rFonts w:ascii="Arial" w:hAnsi="Arial"/>
        </w:rPr>
        <w:t xml:space="preserve">stiegen die Kosten auf einen Höchstwert von </w:t>
      </w:r>
      <w:r w:rsidR="008C70E0">
        <w:rPr>
          <w:rFonts w:ascii="Arial" w:hAnsi="Arial"/>
        </w:rPr>
        <w:t xml:space="preserve">11.778 </w:t>
      </w:r>
      <w:r w:rsidR="008C70E0" w:rsidRPr="00526E49">
        <w:rPr>
          <w:rFonts w:ascii="Arial" w:hAnsi="Arial"/>
        </w:rPr>
        <w:t>US-Dollar</w:t>
      </w:r>
      <w:r w:rsidR="00A900F9">
        <w:rPr>
          <w:rFonts w:ascii="Arial" w:hAnsi="Arial"/>
        </w:rPr>
        <w:t>,</w:t>
      </w:r>
      <w:r w:rsidR="00E1606B">
        <w:rPr>
          <w:rFonts w:ascii="Arial" w:hAnsi="Arial"/>
        </w:rPr>
        <w:t xml:space="preserve"> </w:t>
      </w:r>
      <w:r w:rsidR="00A900F9">
        <w:rPr>
          <w:rFonts w:ascii="Arial" w:hAnsi="Arial"/>
        </w:rPr>
        <w:t xml:space="preserve">um dann bis August 2022 leicht und </w:t>
      </w:r>
      <w:r w:rsidR="00EF4C38">
        <w:rPr>
          <w:rFonts w:ascii="Arial" w:hAnsi="Arial"/>
        </w:rPr>
        <w:t>in den Folgemonaten</w:t>
      </w:r>
      <w:r w:rsidR="00EA18B4">
        <w:rPr>
          <w:rFonts w:ascii="Arial" w:hAnsi="Arial"/>
        </w:rPr>
        <w:t xml:space="preserve"> </w:t>
      </w:r>
      <w:r w:rsidR="00A900F9">
        <w:rPr>
          <w:rFonts w:ascii="Arial" w:hAnsi="Arial"/>
        </w:rPr>
        <w:t>deutlich zu sinken. Im Frühjahr 2023 wurde wieder das Vorkrisenniveau erreicht.</w:t>
      </w:r>
      <w:r w:rsidR="00E1606B">
        <w:rPr>
          <w:rFonts w:ascii="Arial" w:hAnsi="Arial"/>
        </w:rPr>
        <w:t xml:space="preserve"> </w:t>
      </w:r>
      <w:r w:rsidR="00CC40E3" w:rsidRPr="00F86CA4">
        <w:rPr>
          <w:rFonts w:ascii="Arial" w:hAnsi="Arial"/>
        </w:rPr>
        <w:t>D</w:t>
      </w:r>
      <w:r w:rsidR="00AA2147">
        <w:rPr>
          <w:rFonts w:ascii="Arial" w:hAnsi="Arial"/>
        </w:rPr>
        <w:t xml:space="preserve">ie Unterbrechung von </w:t>
      </w:r>
      <w:r w:rsidR="00CC40E3">
        <w:rPr>
          <w:rFonts w:ascii="Arial" w:hAnsi="Arial"/>
        </w:rPr>
        <w:t xml:space="preserve">Lieferketten bzw. </w:t>
      </w:r>
      <w:r w:rsidR="00AA2147" w:rsidRPr="00F86CA4">
        <w:rPr>
          <w:rFonts w:ascii="Arial" w:hAnsi="Arial"/>
        </w:rPr>
        <w:t xml:space="preserve">die </w:t>
      </w:r>
      <w:r w:rsidR="00AA2147">
        <w:rPr>
          <w:rFonts w:ascii="Arial" w:hAnsi="Arial"/>
        </w:rPr>
        <w:t>Störung des g</w:t>
      </w:r>
      <w:r w:rsidR="00CC40E3">
        <w:rPr>
          <w:rFonts w:ascii="Arial" w:hAnsi="Arial"/>
        </w:rPr>
        <w:t xml:space="preserve">renzüberschreitenden Handels </w:t>
      </w:r>
      <w:r w:rsidR="00AA2147">
        <w:rPr>
          <w:rFonts w:ascii="Arial" w:hAnsi="Arial"/>
        </w:rPr>
        <w:t xml:space="preserve">spiegelt sich auch im </w:t>
      </w:r>
      <w:r w:rsidR="00CC40E3">
        <w:rPr>
          <w:rFonts w:ascii="Arial" w:hAnsi="Arial"/>
        </w:rPr>
        <w:t xml:space="preserve">Seefrachtaufkommen </w:t>
      </w:r>
      <w:r w:rsidR="00AA2147">
        <w:rPr>
          <w:rFonts w:ascii="Arial" w:hAnsi="Arial"/>
        </w:rPr>
        <w:t>wider</w:t>
      </w:r>
      <w:r w:rsidR="00CC40E3">
        <w:rPr>
          <w:rFonts w:ascii="Arial" w:hAnsi="Arial"/>
        </w:rPr>
        <w:t xml:space="preserve">: </w:t>
      </w:r>
      <w:r w:rsidR="00515FE4">
        <w:rPr>
          <w:rFonts w:ascii="Arial" w:hAnsi="Arial"/>
        </w:rPr>
        <w:t xml:space="preserve">Von </w:t>
      </w:r>
      <w:r w:rsidR="00515FE4" w:rsidRPr="00D6606F">
        <w:rPr>
          <w:rFonts w:ascii="Arial" w:hAnsi="Arial"/>
        </w:rPr>
        <w:t xml:space="preserve">2019 auf 2020 reduzierte sich das </w:t>
      </w:r>
      <w:r w:rsidR="00AA2147" w:rsidRPr="00D6606F">
        <w:rPr>
          <w:rFonts w:ascii="Arial" w:hAnsi="Arial"/>
        </w:rPr>
        <w:t xml:space="preserve">Seefrachtaufkommen </w:t>
      </w:r>
      <w:r w:rsidR="00CC40E3" w:rsidRPr="00D6606F">
        <w:rPr>
          <w:rFonts w:ascii="Arial" w:hAnsi="Arial"/>
        </w:rPr>
        <w:t xml:space="preserve">laut dem Schifffahrtsdienstleister </w:t>
      </w:r>
      <w:proofErr w:type="spellStart"/>
      <w:r w:rsidR="00CC40E3" w:rsidRPr="00D6606F">
        <w:rPr>
          <w:rFonts w:ascii="Arial" w:hAnsi="Arial"/>
        </w:rPr>
        <w:t>Clarkson</w:t>
      </w:r>
      <w:proofErr w:type="spellEnd"/>
      <w:r w:rsidR="00CC40E3" w:rsidRPr="00D6606F">
        <w:rPr>
          <w:rFonts w:ascii="Arial" w:hAnsi="Arial"/>
        </w:rPr>
        <w:t xml:space="preserve"> </w:t>
      </w:r>
      <w:r w:rsidR="00515FE4" w:rsidRPr="00D6606F">
        <w:rPr>
          <w:rFonts w:ascii="Arial" w:hAnsi="Arial"/>
        </w:rPr>
        <w:t xml:space="preserve">von gut </w:t>
      </w:r>
      <w:r w:rsidR="00CC40E3" w:rsidRPr="00D6606F">
        <w:rPr>
          <w:rFonts w:ascii="Arial" w:hAnsi="Arial"/>
        </w:rPr>
        <w:t>58.</w:t>
      </w:r>
      <w:r w:rsidR="00515FE4" w:rsidRPr="00D6606F">
        <w:rPr>
          <w:rFonts w:ascii="Arial" w:hAnsi="Arial"/>
        </w:rPr>
        <w:t>3</w:t>
      </w:r>
      <w:r w:rsidR="00CC40E3" w:rsidRPr="00D6606F">
        <w:rPr>
          <w:rFonts w:ascii="Arial" w:hAnsi="Arial"/>
        </w:rPr>
        <w:t xml:space="preserve">00 </w:t>
      </w:r>
      <w:r w:rsidR="00515FE4" w:rsidRPr="00D6606F">
        <w:rPr>
          <w:rFonts w:ascii="Arial" w:hAnsi="Arial"/>
        </w:rPr>
        <w:t xml:space="preserve">auf 57.600 </w:t>
      </w:r>
      <w:r w:rsidR="00CC40E3" w:rsidRPr="00D6606F">
        <w:rPr>
          <w:rFonts w:ascii="Arial" w:hAnsi="Arial"/>
        </w:rPr>
        <w:t>Milliarden Tonnen-Meilen (20</w:t>
      </w:r>
      <w:r w:rsidR="00515FE4" w:rsidRPr="00D6606F">
        <w:rPr>
          <w:rFonts w:ascii="Arial" w:hAnsi="Arial"/>
        </w:rPr>
        <w:t>21</w:t>
      </w:r>
      <w:r w:rsidR="00CC40E3" w:rsidRPr="00D6606F">
        <w:rPr>
          <w:rFonts w:ascii="Arial" w:hAnsi="Arial"/>
        </w:rPr>
        <w:t>: 59.</w:t>
      </w:r>
      <w:r w:rsidR="00515FE4" w:rsidRPr="00D6606F">
        <w:rPr>
          <w:rFonts w:ascii="Arial" w:hAnsi="Arial"/>
        </w:rPr>
        <w:t>45</w:t>
      </w:r>
      <w:r w:rsidR="00CC40E3" w:rsidRPr="00D6606F">
        <w:rPr>
          <w:rFonts w:ascii="Arial" w:hAnsi="Arial"/>
        </w:rPr>
        <w:t>0 Mrd. Tonnen-Meilen).</w:t>
      </w:r>
    </w:p>
    <w:p w14:paraId="26371753" w14:textId="77777777" w:rsidR="00E1606B" w:rsidRDefault="00E1606B" w:rsidP="00A51C5E">
      <w:pPr>
        <w:rPr>
          <w:rFonts w:ascii="Arial" w:hAnsi="Arial"/>
        </w:rPr>
      </w:pPr>
    </w:p>
    <w:p w14:paraId="1C888512" w14:textId="0A2B35DF" w:rsidR="00747DD0" w:rsidRDefault="00F82C34" w:rsidP="00F82C34">
      <w:pPr>
        <w:rPr>
          <w:rFonts w:ascii="Arial" w:hAnsi="Arial"/>
        </w:rPr>
      </w:pPr>
      <w:r w:rsidRPr="00747DD0">
        <w:rPr>
          <w:rFonts w:ascii="Arial" w:hAnsi="Arial"/>
        </w:rPr>
        <w:t>Nach Angaben der UNCTAD wurde Anfang 2023 die Seefracht weltweit von mehr als 105.000 Schiffen transportiert</w:t>
      </w:r>
      <w:r>
        <w:rPr>
          <w:rFonts w:ascii="Arial" w:hAnsi="Arial"/>
        </w:rPr>
        <w:t xml:space="preserve">, deren </w:t>
      </w:r>
      <w:r w:rsidRPr="00747DD0">
        <w:rPr>
          <w:rFonts w:ascii="Arial" w:hAnsi="Arial"/>
        </w:rPr>
        <w:t xml:space="preserve">Bruttoraumzahl </w:t>
      </w:r>
      <w:r>
        <w:rPr>
          <w:rFonts w:ascii="Arial" w:hAnsi="Arial"/>
        </w:rPr>
        <w:t xml:space="preserve">bei mindestens </w:t>
      </w:r>
      <w:r w:rsidRPr="00747DD0">
        <w:rPr>
          <w:rFonts w:ascii="Arial" w:hAnsi="Arial"/>
        </w:rPr>
        <w:t>100</w:t>
      </w:r>
      <w:r>
        <w:rPr>
          <w:rFonts w:ascii="Arial" w:hAnsi="Arial"/>
        </w:rPr>
        <w:t xml:space="preserve"> lag (</w:t>
      </w:r>
      <w:r w:rsidRPr="00747DD0">
        <w:rPr>
          <w:rFonts w:ascii="Arial" w:hAnsi="Arial"/>
        </w:rPr>
        <w:t>siehe unten: Begriffe, methodische Anmerkungen oder Lesehilfen).</w:t>
      </w:r>
      <w:r>
        <w:rPr>
          <w:rFonts w:ascii="Arial" w:hAnsi="Arial"/>
        </w:rPr>
        <w:t xml:space="preserve"> Bei rund 56.600 Schiffen lag die </w:t>
      </w:r>
      <w:r w:rsidRPr="00747DD0">
        <w:rPr>
          <w:rFonts w:ascii="Arial" w:hAnsi="Arial"/>
        </w:rPr>
        <w:t xml:space="preserve">Bruttoraumzahl </w:t>
      </w:r>
      <w:r>
        <w:rPr>
          <w:rFonts w:ascii="Arial" w:hAnsi="Arial"/>
        </w:rPr>
        <w:t xml:space="preserve">bei mindestens 1.000. </w:t>
      </w:r>
      <w:r w:rsidRPr="008D464D">
        <w:rPr>
          <w:rFonts w:ascii="Arial" w:hAnsi="Arial"/>
        </w:rPr>
        <w:t>Gemessen</w:t>
      </w:r>
      <w:r>
        <w:rPr>
          <w:rFonts w:ascii="Arial" w:hAnsi="Arial"/>
        </w:rPr>
        <w:t xml:space="preserve"> </w:t>
      </w:r>
      <w:r w:rsidR="004102FE" w:rsidRPr="008D464D">
        <w:rPr>
          <w:rFonts w:ascii="Arial" w:hAnsi="Arial"/>
        </w:rPr>
        <w:t>an der</w:t>
      </w:r>
      <w:r w:rsidR="00B46F5C">
        <w:rPr>
          <w:rFonts w:ascii="Arial" w:hAnsi="Arial"/>
        </w:rPr>
        <w:t xml:space="preserve"> </w:t>
      </w:r>
      <w:r w:rsidR="004102FE" w:rsidRPr="00B46F5C">
        <w:rPr>
          <w:rFonts w:ascii="Arial" w:hAnsi="Arial"/>
        </w:rPr>
        <w:t xml:space="preserve">Tragfähigkeit </w:t>
      </w:r>
      <w:r w:rsidR="004102FE" w:rsidRPr="008D464D">
        <w:rPr>
          <w:rFonts w:ascii="Arial" w:hAnsi="Arial"/>
        </w:rPr>
        <w:t>d</w:t>
      </w:r>
      <w:r>
        <w:rPr>
          <w:rFonts w:ascii="Arial" w:hAnsi="Arial"/>
        </w:rPr>
        <w:t>i</w:t>
      </w:r>
      <w:r w:rsidR="004102FE" w:rsidRPr="008D464D">
        <w:rPr>
          <w:rFonts w:ascii="Arial" w:hAnsi="Arial"/>
        </w:rPr>
        <w:t>e</w:t>
      </w:r>
      <w:r>
        <w:rPr>
          <w:rFonts w:ascii="Arial" w:hAnsi="Arial"/>
        </w:rPr>
        <w:t>se</w:t>
      </w:r>
      <w:r w:rsidR="004102FE" w:rsidRPr="008D464D">
        <w:rPr>
          <w:rFonts w:ascii="Arial" w:hAnsi="Arial"/>
        </w:rPr>
        <w:t xml:space="preserve">r Schiffe kontrollierten </w:t>
      </w:r>
      <w:r w:rsidR="008D464D" w:rsidRPr="008D464D">
        <w:rPr>
          <w:rFonts w:ascii="Arial" w:hAnsi="Arial"/>
        </w:rPr>
        <w:t xml:space="preserve">im Jahr 2022 </w:t>
      </w:r>
      <w:r w:rsidR="004102FE" w:rsidRPr="008D464D">
        <w:rPr>
          <w:rFonts w:ascii="Arial" w:hAnsi="Arial"/>
        </w:rPr>
        <w:t xml:space="preserve">die Unternehmen aus nur </w:t>
      </w:r>
      <w:r w:rsidR="008D464D" w:rsidRPr="008D464D">
        <w:rPr>
          <w:rFonts w:ascii="Arial" w:hAnsi="Arial"/>
        </w:rPr>
        <w:t>vier</w:t>
      </w:r>
      <w:r w:rsidR="004102FE" w:rsidRPr="008D464D">
        <w:rPr>
          <w:rFonts w:ascii="Arial" w:hAnsi="Arial"/>
        </w:rPr>
        <w:t xml:space="preserve"> Staaten – </w:t>
      </w:r>
      <w:r w:rsidR="008D464D" w:rsidRPr="008D464D">
        <w:rPr>
          <w:rFonts w:ascii="Arial" w:hAnsi="Arial"/>
        </w:rPr>
        <w:t>China</w:t>
      </w:r>
      <w:r w:rsidR="004102FE" w:rsidRPr="008D464D">
        <w:rPr>
          <w:rFonts w:ascii="Arial" w:hAnsi="Arial"/>
        </w:rPr>
        <w:t xml:space="preserve"> (1</w:t>
      </w:r>
      <w:r w:rsidR="008D464D" w:rsidRPr="008D464D">
        <w:rPr>
          <w:rFonts w:ascii="Arial" w:hAnsi="Arial"/>
        </w:rPr>
        <w:t>8</w:t>
      </w:r>
      <w:r w:rsidR="004102FE" w:rsidRPr="008D464D">
        <w:rPr>
          <w:rFonts w:ascii="Arial" w:hAnsi="Arial"/>
        </w:rPr>
        <w:t>,</w:t>
      </w:r>
      <w:r w:rsidR="008D464D" w:rsidRPr="008D464D">
        <w:rPr>
          <w:rFonts w:ascii="Arial" w:hAnsi="Arial"/>
        </w:rPr>
        <w:t>6</w:t>
      </w:r>
      <w:r w:rsidR="004102FE" w:rsidRPr="008D464D">
        <w:rPr>
          <w:rFonts w:ascii="Arial" w:hAnsi="Arial"/>
        </w:rPr>
        <w:t xml:space="preserve"> Prozent), </w:t>
      </w:r>
      <w:r w:rsidR="008D464D" w:rsidRPr="008D464D">
        <w:rPr>
          <w:rFonts w:ascii="Arial" w:hAnsi="Arial"/>
        </w:rPr>
        <w:t xml:space="preserve">Griechenland </w:t>
      </w:r>
      <w:r w:rsidR="004102FE" w:rsidRPr="008D464D">
        <w:rPr>
          <w:rFonts w:ascii="Arial" w:hAnsi="Arial"/>
        </w:rPr>
        <w:t>(1</w:t>
      </w:r>
      <w:r w:rsidR="008D464D" w:rsidRPr="008D464D">
        <w:rPr>
          <w:rFonts w:ascii="Arial" w:hAnsi="Arial"/>
        </w:rPr>
        <w:t>7</w:t>
      </w:r>
      <w:r w:rsidR="004102FE" w:rsidRPr="008D464D">
        <w:rPr>
          <w:rFonts w:ascii="Arial" w:hAnsi="Arial"/>
        </w:rPr>
        <w:t>,</w:t>
      </w:r>
      <w:r w:rsidR="008D464D" w:rsidRPr="008D464D">
        <w:rPr>
          <w:rFonts w:ascii="Arial" w:hAnsi="Arial"/>
        </w:rPr>
        <w:t>4</w:t>
      </w:r>
      <w:r w:rsidR="004102FE" w:rsidRPr="008D464D">
        <w:rPr>
          <w:rFonts w:ascii="Arial" w:hAnsi="Arial"/>
        </w:rPr>
        <w:t xml:space="preserve"> Prozent), </w:t>
      </w:r>
      <w:r w:rsidR="008D464D" w:rsidRPr="008D464D">
        <w:rPr>
          <w:rFonts w:ascii="Arial" w:hAnsi="Arial"/>
        </w:rPr>
        <w:t xml:space="preserve">Japan </w:t>
      </w:r>
      <w:r w:rsidR="004102FE" w:rsidRPr="008D464D">
        <w:rPr>
          <w:rFonts w:ascii="Arial" w:hAnsi="Arial"/>
        </w:rPr>
        <w:t>(</w:t>
      </w:r>
      <w:r w:rsidR="008D464D" w:rsidRPr="008D464D">
        <w:rPr>
          <w:rFonts w:ascii="Arial" w:hAnsi="Arial"/>
        </w:rPr>
        <w:t>10</w:t>
      </w:r>
      <w:r w:rsidR="004102FE" w:rsidRPr="008D464D">
        <w:rPr>
          <w:rFonts w:ascii="Arial" w:hAnsi="Arial"/>
        </w:rPr>
        <w:t>,</w:t>
      </w:r>
      <w:r w:rsidR="008D464D" w:rsidRPr="008D464D">
        <w:rPr>
          <w:rFonts w:ascii="Arial" w:hAnsi="Arial"/>
        </w:rPr>
        <w:t>5</w:t>
      </w:r>
      <w:r w:rsidR="004102FE" w:rsidRPr="008D464D">
        <w:rPr>
          <w:rFonts w:ascii="Arial" w:hAnsi="Arial"/>
        </w:rPr>
        <w:t xml:space="preserve"> Prozent) und </w:t>
      </w:r>
      <w:r w:rsidR="00BF207C" w:rsidRPr="008D464D">
        <w:rPr>
          <w:rFonts w:ascii="Arial" w:hAnsi="Arial"/>
        </w:rPr>
        <w:t xml:space="preserve">Singapur </w:t>
      </w:r>
      <w:r w:rsidR="004102FE" w:rsidRPr="008D464D">
        <w:rPr>
          <w:rFonts w:ascii="Arial" w:hAnsi="Arial"/>
        </w:rPr>
        <w:t>(</w:t>
      </w:r>
      <w:r w:rsidR="008D464D" w:rsidRPr="008D464D">
        <w:rPr>
          <w:rFonts w:ascii="Arial" w:hAnsi="Arial"/>
        </w:rPr>
        <w:t>6,2</w:t>
      </w:r>
      <w:r w:rsidR="004102FE" w:rsidRPr="008D464D">
        <w:rPr>
          <w:rFonts w:ascii="Arial" w:hAnsi="Arial"/>
        </w:rPr>
        <w:t xml:space="preserve"> Prozent) – mehr als </w:t>
      </w:r>
      <w:r w:rsidR="00BF207C" w:rsidRPr="008D464D">
        <w:rPr>
          <w:rFonts w:ascii="Arial" w:hAnsi="Arial"/>
        </w:rPr>
        <w:t xml:space="preserve">die Hälfte </w:t>
      </w:r>
      <w:r w:rsidR="004102FE" w:rsidRPr="008D464D">
        <w:rPr>
          <w:rFonts w:ascii="Arial" w:hAnsi="Arial"/>
        </w:rPr>
        <w:t>des Seefrachtaufkommens</w:t>
      </w:r>
      <w:r w:rsidR="00BF207C" w:rsidRPr="008D464D">
        <w:rPr>
          <w:rFonts w:ascii="Arial" w:hAnsi="Arial"/>
        </w:rPr>
        <w:t xml:space="preserve"> (5</w:t>
      </w:r>
      <w:r w:rsidR="008D464D" w:rsidRPr="008D464D">
        <w:rPr>
          <w:rFonts w:ascii="Arial" w:hAnsi="Arial"/>
        </w:rPr>
        <w:t>2</w:t>
      </w:r>
      <w:r w:rsidR="00BF207C" w:rsidRPr="008D464D">
        <w:rPr>
          <w:rFonts w:ascii="Arial" w:hAnsi="Arial"/>
        </w:rPr>
        <w:t>,</w:t>
      </w:r>
      <w:r w:rsidR="008D464D" w:rsidRPr="008D464D">
        <w:rPr>
          <w:rFonts w:ascii="Arial" w:hAnsi="Arial"/>
        </w:rPr>
        <w:t>7</w:t>
      </w:r>
      <w:r w:rsidR="00BF207C" w:rsidRPr="008D464D">
        <w:rPr>
          <w:rFonts w:ascii="Arial" w:hAnsi="Arial"/>
        </w:rPr>
        <w:t xml:space="preserve"> Prozent)</w:t>
      </w:r>
      <w:r w:rsidR="004102FE" w:rsidRPr="008D464D">
        <w:rPr>
          <w:rFonts w:ascii="Arial" w:hAnsi="Arial"/>
        </w:rPr>
        <w:t xml:space="preserve">. </w:t>
      </w:r>
      <w:r w:rsidR="008D464D" w:rsidRPr="008D464D">
        <w:rPr>
          <w:rFonts w:ascii="Arial" w:hAnsi="Arial"/>
        </w:rPr>
        <w:t>Zusammen mit Südkorea (4,3 Prozent) und Deutschland (3,4 Prozent) steigt der Anteil auf mehr als 60 Prozent.</w:t>
      </w:r>
      <w:r w:rsidR="008D464D" w:rsidRPr="00946B1F">
        <w:rPr>
          <w:rFonts w:ascii="Arial" w:hAnsi="Arial"/>
        </w:rPr>
        <w:t xml:space="preserve"> </w:t>
      </w:r>
      <w:r w:rsidR="004102FE" w:rsidRPr="00946B1F">
        <w:rPr>
          <w:rFonts w:ascii="Arial" w:hAnsi="Arial"/>
        </w:rPr>
        <w:t xml:space="preserve">Insgesamt entfielen auf die Unternehmen aus den 20 wichtigsten </w:t>
      </w:r>
      <w:r w:rsidR="00EF4C38">
        <w:rPr>
          <w:rFonts w:ascii="Arial" w:hAnsi="Arial"/>
        </w:rPr>
        <w:t>Schiffsbesitzer</w:t>
      </w:r>
      <w:r w:rsidR="00946B1F">
        <w:rPr>
          <w:rFonts w:ascii="Arial" w:hAnsi="Arial"/>
        </w:rPr>
        <w:t>-N</w:t>
      </w:r>
      <w:r w:rsidR="004102FE" w:rsidRPr="00946B1F">
        <w:rPr>
          <w:rFonts w:ascii="Arial" w:hAnsi="Arial"/>
        </w:rPr>
        <w:t>ationen 8</w:t>
      </w:r>
      <w:r w:rsidR="008D464D" w:rsidRPr="00946B1F">
        <w:rPr>
          <w:rFonts w:ascii="Arial" w:hAnsi="Arial"/>
        </w:rPr>
        <w:t>6</w:t>
      </w:r>
      <w:r w:rsidR="004102FE" w:rsidRPr="00946B1F">
        <w:rPr>
          <w:rFonts w:ascii="Arial" w:hAnsi="Arial"/>
        </w:rPr>
        <w:t>,</w:t>
      </w:r>
      <w:r w:rsidR="008D464D" w:rsidRPr="00946B1F">
        <w:rPr>
          <w:rFonts w:ascii="Arial" w:hAnsi="Arial"/>
        </w:rPr>
        <w:t>2</w:t>
      </w:r>
      <w:r w:rsidR="004102FE" w:rsidRPr="00946B1F">
        <w:rPr>
          <w:rFonts w:ascii="Arial" w:hAnsi="Arial"/>
        </w:rPr>
        <w:t xml:space="preserve"> Prozent de</w:t>
      </w:r>
      <w:r w:rsidR="00946B1F">
        <w:rPr>
          <w:rFonts w:ascii="Arial" w:hAnsi="Arial"/>
        </w:rPr>
        <w:t xml:space="preserve">r </w:t>
      </w:r>
      <w:r w:rsidR="004102FE" w:rsidRPr="00946B1F">
        <w:rPr>
          <w:rFonts w:ascii="Arial" w:hAnsi="Arial"/>
        </w:rPr>
        <w:t xml:space="preserve">gesamten </w:t>
      </w:r>
      <w:r w:rsidR="00946B1F" w:rsidRPr="008D464D">
        <w:rPr>
          <w:rFonts w:ascii="Arial" w:hAnsi="Arial"/>
        </w:rPr>
        <w:t>Tragfähigkeit der Schiffe</w:t>
      </w:r>
      <w:r w:rsidR="004102FE" w:rsidRPr="00946B1F">
        <w:rPr>
          <w:rFonts w:ascii="Arial" w:hAnsi="Arial"/>
        </w:rPr>
        <w:t xml:space="preserve">. Bei den Unternehmen aus den 35 wichtigsten </w:t>
      </w:r>
      <w:r w:rsidR="00EF4C38">
        <w:rPr>
          <w:rFonts w:ascii="Arial" w:hAnsi="Arial"/>
        </w:rPr>
        <w:t>Schiffsbesitzer</w:t>
      </w:r>
      <w:r w:rsidR="00946B1F">
        <w:rPr>
          <w:rFonts w:ascii="Arial" w:hAnsi="Arial"/>
        </w:rPr>
        <w:t>-N</w:t>
      </w:r>
      <w:r w:rsidR="00946B1F" w:rsidRPr="00946B1F">
        <w:rPr>
          <w:rFonts w:ascii="Arial" w:hAnsi="Arial"/>
        </w:rPr>
        <w:t xml:space="preserve">ationen </w:t>
      </w:r>
      <w:r w:rsidR="004102FE" w:rsidRPr="00946B1F">
        <w:rPr>
          <w:rFonts w:ascii="Arial" w:hAnsi="Arial"/>
        </w:rPr>
        <w:t>lag dieser Wert bei 9</w:t>
      </w:r>
      <w:r w:rsidR="00B66A85" w:rsidRPr="00946B1F">
        <w:rPr>
          <w:rFonts w:ascii="Arial" w:hAnsi="Arial"/>
        </w:rPr>
        <w:t>4</w:t>
      </w:r>
      <w:r w:rsidR="004102FE" w:rsidRPr="00946B1F">
        <w:rPr>
          <w:rFonts w:ascii="Arial" w:hAnsi="Arial"/>
        </w:rPr>
        <w:t>,</w:t>
      </w:r>
      <w:r w:rsidR="00946B1F" w:rsidRPr="00946B1F">
        <w:rPr>
          <w:rFonts w:ascii="Arial" w:hAnsi="Arial"/>
        </w:rPr>
        <w:t>5</w:t>
      </w:r>
      <w:r w:rsidR="004102FE" w:rsidRPr="00946B1F">
        <w:rPr>
          <w:rFonts w:ascii="Arial" w:hAnsi="Arial"/>
        </w:rPr>
        <w:t xml:space="preserve"> Prozent – der Seehandel </w:t>
      </w:r>
      <w:r w:rsidR="003E414F" w:rsidRPr="00946B1F">
        <w:rPr>
          <w:rFonts w:ascii="Arial" w:hAnsi="Arial"/>
        </w:rPr>
        <w:t xml:space="preserve">ist </w:t>
      </w:r>
      <w:r w:rsidR="004102FE" w:rsidRPr="00946B1F">
        <w:rPr>
          <w:rFonts w:ascii="Arial" w:hAnsi="Arial"/>
        </w:rPr>
        <w:t xml:space="preserve">damit </w:t>
      </w:r>
      <w:r w:rsidR="003E414F" w:rsidRPr="00946B1F">
        <w:rPr>
          <w:rFonts w:ascii="Arial" w:hAnsi="Arial"/>
        </w:rPr>
        <w:t xml:space="preserve">sehr stark </w:t>
      </w:r>
      <w:r w:rsidR="004102FE" w:rsidRPr="00946B1F">
        <w:rPr>
          <w:rFonts w:ascii="Arial" w:hAnsi="Arial"/>
        </w:rPr>
        <w:t>konzentriert.</w:t>
      </w:r>
      <w:r w:rsidR="00E1606B">
        <w:rPr>
          <w:rFonts w:ascii="Arial" w:hAnsi="Arial"/>
        </w:rPr>
        <w:t xml:space="preserve"> </w:t>
      </w:r>
      <w:r w:rsidR="00CC55EC">
        <w:rPr>
          <w:rFonts w:ascii="Arial" w:hAnsi="Arial"/>
        </w:rPr>
        <w:t xml:space="preserve">Noch stärker ist die Konzentration </w:t>
      </w:r>
      <w:r w:rsidR="006A3245">
        <w:rPr>
          <w:rFonts w:ascii="Arial" w:hAnsi="Arial"/>
        </w:rPr>
        <w:t xml:space="preserve">beim </w:t>
      </w:r>
      <w:r w:rsidR="00CC55EC">
        <w:rPr>
          <w:rFonts w:ascii="Arial" w:hAnsi="Arial"/>
        </w:rPr>
        <w:t xml:space="preserve">Schiffsbau: </w:t>
      </w:r>
      <w:r w:rsidR="00747DD0" w:rsidRPr="00747DD0">
        <w:rPr>
          <w:rFonts w:ascii="Arial" w:hAnsi="Arial"/>
        </w:rPr>
        <w:t xml:space="preserve">Bezogen auf die gesamte Bruttoraumzahl der </w:t>
      </w:r>
      <w:r w:rsidR="00747DD0">
        <w:rPr>
          <w:rFonts w:ascii="Arial" w:hAnsi="Arial"/>
        </w:rPr>
        <w:t xml:space="preserve">neugebauten </w:t>
      </w:r>
      <w:r w:rsidR="00747DD0" w:rsidRPr="00747DD0">
        <w:rPr>
          <w:rFonts w:ascii="Arial" w:hAnsi="Arial"/>
        </w:rPr>
        <w:t xml:space="preserve">Schiffe, die 2022 </w:t>
      </w:r>
      <w:r w:rsidR="00747DD0">
        <w:rPr>
          <w:rFonts w:ascii="Arial" w:hAnsi="Arial"/>
        </w:rPr>
        <w:t xml:space="preserve">ausgeliefert </w:t>
      </w:r>
      <w:r w:rsidR="00747DD0" w:rsidRPr="00747DD0">
        <w:rPr>
          <w:rFonts w:ascii="Arial" w:hAnsi="Arial"/>
        </w:rPr>
        <w:t>wurden, hatte China einen Anteil von 46,6 Prozent. Zusammen mit Südkorea (29,2 Prozent) und Japan (17,2) entfielen demnach 93 Prozent der neuen Kapazitäten auf lediglich drei Staaten.</w:t>
      </w:r>
    </w:p>
    <w:p w14:paraId="496C7DC4" w14:textId="77777777" w:rsidR="00E1606B" w:rsidRDefault="00E1606B" w:rsidP="00747DD0">
      <w:pPr>
        <w:rPr>
          <w:rFonts w:ascii="Arial" w:hAnsi="Arial"/>
        </w:rPr>
      </w:pPr>
    </w:p>
    <w:p w14:paraId="756C855D" w14:textId="0980411C" w:rsidR="001913FF" w:rsidRDefault="004102FE" w:rsidP="00BF3ABD">
      <w:pPr>
        <w:rPr>
          <w:rFonts w:ascii="Arial" w:hAnsi="Arial"/>
        </w:rPr>
      </w:pPr>
      <w:r w:rsidRPr="00C77BB6">
        <w:rPr>
          <w:rFonts w:ascii="Arial" w:hAnsi="Arial"/>
        </w:rPr>
        <w:t xml:space="preserve">Im Zusammenhang mit dem Seehandel wird häufig kritisiert, dass </w:t>
      </w:r>
      <w:r w:rsidR="00E46E20" w:rsidRPr="00C77BB6">
        <w:rPr>
          <w:rFonts w:ascii="Arial" w:hAnsi="Arial"/>
        </w:rPr>
        <w:t xml:space="preserve">Unternehmen aus </w:t>
      </w:r>
      <w:r w:rsidRPr="00C77BB6">
        <w:rPr>
          <w:rFonts w:ascii="Arial" w:hAnsi="Arial"/>
        </w:rPr>
        <w:t>alle</w:t>
      </w:r>
      <w:r w:rsidR="00E46E20" w:rsidRPr="00C77BB6">
        <w:rPr>
          <w:rFonts w:ascii="Arial" w:hAnsi="Arial"/>
        </w:rPr>
        <w:t>n</w:t>
      </w:r>
      <w:r w:rsidRPr="00C77BB6">
        <w:rPr>
          <w:rFonts w:ascii="Arial" w:hAnsi="Arial"/>
        </w:rPr>
        <w:t xml:space="preserve"> </w:t>
      </w:r>
      <w:r w:rsidR="00EF4C38">
        <w:rPr>
          <w:rFonts w:ascii="Arial" w:hAnsi="Arial"/>
        </w:rPr>
        <w:t>Schiffsbesitzer</w:t>
      </w:r>
      <w:r w:rsidR="00C77BB6">
        <w:rPr>
          <w:rFonts w:ascii="Arial" w:hAnsi="Arial"/>
        </w:rPr>
        <w:t>-N</w:t>
      </w:r>
      <w:r w:rsidR="00C77BB6" w:rsidRPr="00946B1F">
        <w:rPr>
          <w:rFonts w:ascii="Arial" w:hAnsi="Arial"/>
        </w:rPr>
        <w:t xml:space="preserve">ationen </w:t>
      </w:r>
      <w:r w:rsidRPr="00C77BB6">
        <w:rPr>
          <w:rFonts w:ascii="Arial" w:hAnsi="Arial"/>
        </w:rPr>
        <w:t>große Teile ihrer Flotte nicht im eigenen Land registrieren</w:t>
      </w:r>
      <w:r w:rsidR="00987832" w:rsidRPr="00C77BB6">
        <w:rPr>
          <w:rFonts w:ascii="Arial" w:hAnsi="Arial"/>
        </w:rPr>
        <w:t xml:space="preserve">. </w:t>
      </w:r>
      <w:r w:rsidR="00237F02">
        <w:rPr>
          <w:rFonts w:ascii="Arial" w:hAnsi="Arial"/>
        </w:rPr>
        <w:t xml:space="preserve">Bezogen auf die </w:t>
      </w:r>
      <w:r w:rsidR="00237F02" w:rsidRPr="008D464D">
        <w:rPr>
          <w:rFonts w:ascii="Arial" w:hAnsi="Arial"/>
        </w:rPr>
        <w:t xml:space="preserve">Tragfähigkeit der Schiffe </w:t>
      </w:r>
      <w:r w:rsidR="00237F02">
        <w:rPr>
          <w:rFonts w:ascii="Arial" w:hAnsi="Arial"/>
        </w:rPr>
        <w:t>lag b</w:t>
      </w:r>
      <w:r w:rsidR="00237F02" w:rsidRPr="00C77BB6">
        <w:rPr>
          <w:rFonts w:ascii="Arial" w:hAnsi="Arial"/>
        </w:rPr>
        <w:t>ei den Top 35 der Anteil der unter fremder Flagg</w:t>
      </w:r>
      <w:r w:rsidR="00EF4C38">
        <w:rPr>
          <w:rFonts w:ascii="Arial" w:hAnsi="Arial"/>
        </w:rPr>
        <w:t>e</w:t>
      </w:r>
      <w:r w:rsidR="00237F02">
        <w:rPr>
          <w:rFonts w:ascii="Arial" w:hAnsi="Arial"/>
        </w:rPr>
        <w:t xml:space="preserve"> </w:t>
      </w:r>
      <w:r w:rsidR="00C52295" w:rsidRPr="00C77BB6">
        <w:rPr>
          <w:rFonts w:ascii="Arial" w:hAnsi="Arial"/>
        </w:rPr>
        <w:t>fahrenden Schiffe</w:t>
      </w:r>
      <w:r w:rsidR="00F07D7E" w:rsidRPr="00C77BB6">
        <w:rPr>
          <w:rFonts w:ascii="Arial" w:hAnsi="Arial"/>
        </w:rPr>
        <w:t xml:space="preserve"> </w:t>
      </w:r>
      <w:r w:rsidR="00C77BB6" w:rsidRPr="00C77BB6">
        <w:rPr>
          <w:rFonts w:ascii="Arial" w:hAnsi="Arial"/>
        </w:rPr>
        <w:t xml:space="preserve">2022 </w:t>
      </w:r>
      <w:r w:rsidR="00C52295" w:rsidRPr="00C77BB6">
        <w:rPr>
          <w:rFonts w:ascii="Arial" w:hAnsi="Arial"/>
        </w:rPr>
        <w:t xml:space="preserve">bei </w:t>
      </w:r>
      <w:r w:rsidR="00C77BB6" w:rsidRPr="00C77BB6">
        <w:rPr>
          <w:rFonts w:ascii="Arial" w:hAnsi="Arial"/>
        </w:rPr>
        <w:t>71</w:t>
      </w:r>
      <w:r w:rsidR="00F07D7E" w:rsidRPr="00C77BB6">
        <w:rPr>
          <w:rFonts w:ascii="Arial" w:hAnsi="Arial"/>
        </w:rPr>
        <w:t>,</w:t>
      </w:r>
      <w:r w:rsidR="00C77BB6" w:rsidRPr="00C77BB6">
        <w:rPr>
          <w:rFonts w:ascii="Arial" w:hAnsi="Arial"/>
        </w:rPr>
        <w:t>8</w:t>
      </w:r>
      <w:r w:rsidR="00C52295" w:rsidRPr="00C77BB6">
        <w:rPr>
          <w:rFonts w:ascii="Arial" w:hAnsi="Arial"/>
        </w:rPr>
        <w:t xml:space="preserve"> Prozent. Von den </w:t>
      </w:r>
      <w:r w:rsidR="00C77BB6" w:rsidRPr="00C77BB6">
        <w:rPr>
          <w:rFonts w:ascii="Arial" w:hAnsi="Arial"/>
        </w:rPr>
        <w:t>2</w:t>
      </w:r>
      <w:r w:rsidR="00F07D7E" w:rsidRPr="00C77BB6">
        <w:rPr>
          <w:rFonts w:ascii="Arial" w:hAnsi="Arial"/>
        </w:rPr>
        <w:t>.</w:t>
      </w:r>
      <w:r w:rsidR="00C77BB6" w:rsidRPr="00C77BB6">
        <w:rPr>
          <w:rFonts w:ascii="Arial" w:hAnsi="Arial"/>
        </w:rPr>
        <w:t>156</w:t>
      </w:r>
      <w:r w:rsidR="00F07D7E" w:rsidRPr="00C77BB6">
        <w:rPr>
          <w:rFonts w:ascii="Arial" w:hAnsi="Arial"/>
        </w:rPr>
        <w:t xml:space="preserve"> </w:t>
      </w:r>
      <w:r w:rsidR="00C52295" w:rsidRPr="00C77BB6">
        <w:rPr>
          <w:rFonts w:ascii="Arial" w:hAnsi="Arial"/>
        </w:rPr>
        <w:t>Schiffen deutscher Unternehmen f</w:t>
      </w:r>
      <w:r w:rsidR="00F07D7E" w:rsidRPr="00C77BB6">
        <w:rPr>
          <w:rFonts w:ascii="Arial" w:hAnsi="Arial"/>
        </w:rPr>
        <w:t>u</w:t>
      </w:r>
      <w:r w:rsidR="00C52295" w:rsidRPr="00C77BB6">
        <w:rPr>
          <w:rFonts w:ascii="Arial" w:hAnsi="Arial"/>
        </w:rPr>
        <w:t xml:space="preserve">hren </w:t>
      </w:r>
      <w:r w:rsidR="00C77BB6" w:rsidRPr="00C77BB6">
        <w:rPr>
          <w:rFonts w:ascii="Arial" w:hAnsi="Arial"/>
        </w:rPr>
        <w:t xml:space="preserve">rund 91 Prozent </w:t>
      </w:r>
      <w:r w:rsidR="00C52295" w:rsidRPr="00C77BB6">
        <w:rPr>
          <w:rFonts w:ascii="Arial" w:hAnsi="Arial"/>
        </w:rPr>
        <w:t>unter fremder Flagge</w:t>
      </w:r>
      <w:r w:rsidR="001E2B61" w:rsidRPr="00C77BB6">
        <w:rPr>
          <w:rFonts w:ascii="Arial" w:hAnsi="Arial"/>
        </w:rPr>
        <w:t xml:space="preserve">. Durch das sogenannte Ausflaggen </w:t>
      </w:r>
      <w:r w:rsidRPr="00C77BB6">
        <w:rPr>
          <w:rFonts w:ascii="Arial" w:hAnsi="Arial"/>
        </w:rPr>
        <w:t xml:space="preserve">verringern die Reedereien ihre Kosten </w:t>
      </w:r>
      <w:r w:rsidR="00C77BB6" w:rsidRPr="00C77BB6">
        <w:rPr>
          <w:rFonts w:ascii="Arial" w:hAnsi="Arial"/>
        </w:rPr>
        <w:t xml:space="preserve">– </w:t>
      </w:r>
      <w:r w:rsidRPr="00C77BB6">
        <w:rPr>
          <w:rFonts w:ascii="Arial" w:hAnsi="Arial"/>
        </w:rPr>
        <w:t>beispielsweise durch geringere Löhne</w:t>
      </w:r>
      <w:r w:rsidR="002F09D4" w:rsidRPr="00C77BB6">
        <w:rPr>
          <w:rFonts w:ascii="Arial" w:hAnsi="Arial"/>
        </w:rPr>
        <w:t xml:space="preserve"> </w:t>
      </w:r>
      <w:r w:rsidR="00C77BB6" w:rsidRPr="00C77BB6">
        <w:rPr>
          <w:rFonts w:ascii="Arial" w:hAnsi="Arial"/>
        </w:rPr>
        <w:t>und</w:t>
      </w:r>
      <w:r w:rsidR="002F09D4" w:rsidRPr="00C77BB6">
        <w:rPr>
          <w:rFonts w:ascii="Arial" w:hAnsi="Arial"/>
        </w:rPr>
        <w:t xml:space="preserve"> Steuern</w:t>
      </w:r>
      <w:r w:rsidR="00C77BB6" w:rsidRPr="00C77BB6">
        <w:rPr>
          <w:rFonts w:ascii="Arial" w:hAnsi="Arial"/>
        </w:rPr>
        <w:t xml:space="preserve"> sowie durch n</w:t>
      </w:r>
      <w:r w:rsidRPr="00C77BB6">
        <w:rPr>
          <w:rFonts w:ascii="Arial" w:hAnsi="Arial"/>
        </w:rPr>
        <w:t>iedrigere Sicherheits</w:t>
      </w:r>
      <w:r w:rsidR="00F17A61" w:rsidRPr="00C77BB6">
        <w:rPr>
          <w:rFonts w:ascii="Arial" w:hAnsi="Arial"/>
        </w:rPr>
        <w:t>- und Umwelt</w:t>
      </w:r>
      <w:r w:rsidRPr="00C77BB6">
        <w:rPr>
          <w:rFonts w:ascii="Arial" w:hAnsi="Arial"/>
        </w:rPr>
        <w:t>standards</w:t>
      </w:r>
      <w:r w:rsidR="001E2B61" w:rsidRPr="00C77BB6">
        <w:rPr>
          <w:rFonts w:ascii="Arial" w:hAnsi="Arial"/>
        </w:rPr>
        <w:t xml:space="preserve"> </w:t>
      </w:r>
      <w:r w:rsidR="00C77BB6" w:rsidRPr="00C77BB6">
        <w:rPr>
          <w:rFonts w:ascii="Arial" w:hAnsi="Arial"/>
        </w:rPr>
        <w:t>beim Abwracken bzw. Recycling</w:t>
      </w:r>
      <w:r w:rsidRPr="00C77BB6">
        <w:rPr>
          <w:rFonts w:ascii="Arial" w:hAnsi="Arial"/>
        </w:rPr>
        <w:t>.</w:t>
      </w:r>
      <w:r w:rsidR="00E1606B">
        <w:rPr>
          <w:rFonts w:ascii="Arial" w:hAnsi="Arial"/>
        </w:rPr>
        <w:t xml:space="preserve"> </w:t>
      </w:r>
      <w:r w:rsidR="00237F02">
        <w:rPr>
          <w:rFonts w:ascii="Arial" w:hAnsi="Arial"/>
        </w:rPr>
        <w:t xml:space="preserve">Wiederum bezogen </w:t>
      </w:r>
      <w:r w:rsidR="00081AFB">
        <w:rPr>
          <w:rFonts w:ascii="Arial" w:hAnsi="Arial"/>
        </w:rPr>
        <w:t xml:space="preserve">auf die </w:t>
      </w:r>
      <w:r w:rsidR="00081AFB" w:rsidRPr="008D464D">
        <w:rPr>
          <w:rFonts w:ascii="Arial" w:hAnsi="Arial"/>
        </w:rPr>
        <w:t xml:space="preserve">Tragfähigkeit der Schiffe </w:t>
      </w:r>
      <w:r w:rsidR="00081AFB">
        <w:rPr>
          <w:rFonts w:ascii="Arial" w:hAnsi="Arial"/>
        </w:rPr>
        <w:t>wurde i</w:t>
      </w:r>
      <w:r w:rsidR="00081AFB" w:rsidRPr="00B377F1">
        <w:rPr>
          <w:rFonts w:ascii="Arial" w:hAnsi="Arial"/>
        </w:rPr>
        <w:t xml:space="preserve">m Jahr 2022 fast die Hälfte </w:t>
      </w:r>
      <w:r w:rsidRPr="00B377F1">
        <w:rPr>
          <w:rFonts w:ascii="Arial" w:hAnsi="Arial"/>
        </w:rPr>
        <w:t xml:space="preserve">des </w:t>
      </w:r>
      <w:r w:rsidRPr="00B377F1">
        <w:rPr>
          <w:rFonts w:ascii="Arial" w:hAnsi="Arial"/>
        </w:rPr>
        <w:lastRenderedPageBreak/>
        <w:t>weltweiten Seefrachtaufkommens</w:t>
      </w:r>
      <w:r w:rsidR="00BF3ABD" w:rsidRPr="00B377F1">
        <w:rPr>
          <w:rFonts w:ascii="Arial" w:hAnsi="Arial"/>
        </w:rPr>
        <w:t xml:space="preserve"> </w:t>
      </w:r>
      <w:r w:rsidRPr="00B377F1">
        <w:rPr>
          <w:rFonts w:ascii="Arial" w:hAnsi="Arial"/>
        </w:rPr>
        <w:t xml:space="preserve">unter den Flaggen </w:t>
      </w:r>
      <w:r w:rsidR="00081AFB" w:rsidRPr="00B377F1">
        <w:rPr>
          <w:rFonts w:ascii="Arial" w:hAnsi="Arial"/>
        </w:rPr>
        <w:t xml:space="preserve">Liberias </w:t>
      </w:r>
      <w:r w:rsidR="00BF3ABD" w:rsidRPr="00B377F1">
        <w:rPr>
          <w:rFonts w:ascii="Arial" w:hAnsi="Arial"/>
        </w:rPr>
        <w:t>(</w:t>
      </w:r>
      <w:r w:rsidR="00081AFB" w:rsidRPr="00B377F1">
        <w:rPr>
          <w:rFonts w:ascii="Arial" w:hAnsi="Arial"/>
        </w:rPr>
        <w:t>16,6</w:t>
      </w:r>
      <w:r w:rsidR="00BF3ABD" w:rsidRPr="00B377F1">
        <w:rPr>
          <w:rFonts w:ascii="Arial" w:hAnsi="Arial"/>
        </w:rPr>
        <w:t xml:space="preserve"> Prozent), </w:t>
      </w:r>
      <w:r w:rsidR="00081AFB" w:rsidRPr="00B377F1">
        <w:rPr>
          <w:rFonts w:ascii="Arial" w:hAnsi="Arial"/>
        </w:rPr>
        <w:t xml:space="preserve">Panamas </w:t>
      </w:r>
      <w:r w:rsidR="00BF3ABD" w:rsidRPr="00B377F1">
        <w:rPr>
          <w:rFonts w:ascii="Arial" w:hAnsi="Arial"/>
        </w:rPr>
        <w:t>(</w:t>
      </w:r>
      <w:r w:rsidR="00081AFB" w:rsidRPr="00B377F1">
        <w:rPr>
          <w:rFonts w:ascii="Arial" w:hAnsi="Arial"/>
        </w:rPr>
        <w:t>16,1</w:t>
      </w:r>
      <w:r w:rsidR="00BF3ABD" w:rsidRPr="00B377F1">
        <w:rPr>
          <w:rFonts w:ascii="Arial" w:hAnsi="Arial"/>
        </w:rPr>
        <w:t xml:space="preserve"> Prozent) und der Marshallinseln (</w:t>
      </w:r>
      <w:r w:rsidR="00081AFB" w:rsidRPr="00B377F1">
        <w:rPr>
          <w:rFonts w:ascii="Arial" w:hAnsi="Arial"/>
        </w:rPr>
        <w:t>13</w:t>
      </w:r>
      <w:r w:rsidR="00BF3ABD" w:rsidRPr="00B377F1">
        <w:rPr>
          <w:rFonts w:ascii="Arial" w:hAnsi="Arial"/>
        </w:rPr>
        <w:t>,</w:t>
      </w:r>
      <w:r w:rsidR="00081AFB" w:rsidRPr="00B377F1">
        <w:rPr>
          <w:rFonts w:ascii="Arial" w:hAnsi="Arial"/>
        </w:rPr>
        <w:t>2</w:t>
      </w:r>
      <w:r w:rsidR="00BF3ABD" w:rsidRPr="00B377F1">
        <w:rPr>
          <w:rFonts w:ascii="Arial" w:hAnsi="Arial"/>
        </w:rPr>
        <w:t xml:space="preserve"> Prozent) </w:t>
      </w:r>
      <w:r w:rsidRPr="00B377F1">
        <w:rPr>
          <w:rFonts w:ascii="Arial" w:hAnsi="Arial"/>
        </w:rPr>
        <w:t>transportiert</w:t>
      </w:r>
      <w:r w:rsidR="00081AFB" w:rsidRPr="00B377F1">
        <w:rPr>
          <w:rFonts w:ascii="Arial" w:hAnsi="Arial"/>
        </w:rPr>
        <w:t xml:space="preserve"> – zusammen 45,9 Prozent</w:t>
      </w:r>
      <w:r w:rsidRPr="00B377F1">
        <w:rPr>
          <w:rFonts w:ascii="Arial" w:hAnsi="Arial"/>
        </w:rPr>
        <w:t>.</w:t>
      </w:r>
      <w:r w:rsidR="00E1606B">
        <w:rPr>
          <w:rFonts w:ascii="Arial" w:hAnsi="Arial"/>
        </w:rPr>
        <w:t xml:space="preserve"> </w:t>
      </w:r>
      <w:r w:rsidR="00DE2398">
        <w:rPr>
          <w:rFonts w:ascii="Arial" w:hAnsi="Arial"/>
        </w:rPr>
        <w:t xml:space="preserve">Wie der Schiffsbau konzentriert sich auch das </w:t>
      </w:r>
      <w:r w:rsidR="00DE2398" w:rsidRPr="00C77BB6">
        <w:rPr>
          <w:rFonts w:ascii="Arial" w:hAnsi="Arial"/>
        </w:rPr>
        <w:t>Abwracken bzw. Recycling</w:t>
      </w:r>
      <w:r w:rsidR="00DE2398">
        <w:rPr>
          <w:rFonts w:ascii="Arial" w:hAnsi="Arial"/>
        </w:rPr>
        <w:t xml:space="preserve"> auf wenige Staaten. </w:t>
      </w:r>
      <w:r w:rsidR="001913FF">
        <w:rPr>
          <w:rFonts w:ascii="Arial" w:hAnsi="Arial"/>
        </w:rPr>
        <w:t>Laut der Daten, die der UNCTAD vorliegen, hatte</w:t>
      </w:r>
      <w:r w:rsidR="00DE2398">
        <w:rPr>
          <w:rFonts w:ascii="Arial" w:hAnsi="Arial"/>
        </w:rPr>
        <w:t>n B</w:t>
      </w:r>
      <w:r w:rsidR="001913FF">
        <w:rPr>
          <w:rFonts w:ascii="Arial" w:hAnsi="Arial"/>
        </w:rPr>
        <w:t xml:space="preserve">angladesch </w:t>
      </w:r>
      <w:r w:rsidR="00DE2398">
        <w:rPr>
          <w:rFonts w:ascii="Arial" w:hAnsi="Arial"/>
        </w:rPr>
        <w:t xml:space="preserve">und Indien </w:t>
      </w:r>
      <w:r w:rsidR="001913FF">
        <w:rPr>
          <w:rFonts w:ascii="Arial" w:hAnsi="Arial"/>
        </w:rPr>
        <w:t>– bezogen auf d</w:t>
      </w:r>
      <w:r w:rsidR="00237F02">
        <w:rPr>
          <w:rFonts w:ascii="Arial" w:hAnsi="Arial"/>
        </w:rPr>
        <w:t xml:space="preserve">ie </w:t>
      </w:r>
      <w:r w:rsidR="00237F02" w:rsidRPr="00747DD0">
        <w:rPr>
          <w:rFonts w:ascii="Arial" w:hAnsi="Arial"/>
        </w:rPr>
        <w:t xml:space="preserve">Bruttoraumzahl </w:t>
      </w:r>
      <w:r w:rsidR="00DE2398">
        <w:rPr>
          <w:rFonts w:ascii="Arial" w:hAnsi="Arial"/>
        </w:rPr>
        <w:t xml:space="preserve">der Schiffe </w:t>
      </w:r>
      <w:r w:rsidR="001913FF">
        <w:rPr>
          <w:rFonts w:ascii="Arial" w:hAnsi="Arial"/>
        </w:rPr>
        <w:t xml:space="preserve">– einen Anteil von 37,2 </w:t>
      </w:r>
      <w:r w:rsidR="00DE2398">
        <w:rPr>
          <w:rFonts w:ascii="Arial" w:hAnsi="Arial"/>
        </w:rPr>
        <w:t>bzw</w:t>
      </w:r>
      <w:r w:rsidR="00E024E2">
        <w:rPr>
          <w:rFonts w:ascii="Arial" w:hAnsi="Arial"/>
        </w:rPr>
        <w:t>.</w:t>
      </w:r>
      <w:r w:rsidR="00DE2398">
        <w:rPr>
          <w:rFonts w:ascii="Arial" w:hAnsi="Arial"/>
        </w:rPr>
        <w:t xml:space="preserve"> 32,3 </w:t>
      </w:r>
      <w:r w:rsidR="001913FF">
        <w:rPr>
          <w:rFonts w:ascii="Arial" w:hAnsi="Arial"/>
        </w:rPr>
        <w:t xml:space="preserve">Prozent. Darauf folgten </w:t>
      </w:r>
      <w:r w:rsidR="00DE2398">
        <w:rPr>
          <w:rFonts w:ascii="Arial" w:hAnsi="Arial"/>
        </w:rPr>
        <w:t>Pakistan mit 16,9 Prozent und die Türkei mit 6,3 Prozent</w:t>
      </w:r>
      <w:r w:rsidR="001913FF">
        <w:rPr>
          <w:rFonts w:ascii="Arial" w:hAnsi="Arial"/>
        </w:rPr>
        <w:t>.</w:t>
      </w:r>
    </w:p>
    <w:p w14:paraId="2FDFFFC4" w14:textId="77777777" w:rsidR="00E1606B" w:rsidRDefault="00E1606B" w:rsidP="00BF3ABD">
      <w:pPr>
        <w:rPr>
          <w:rFonts w:ascii="Arial" w:hAnsi="Arial"/>
        </w:rPr>
      </w:pPr>
    </w:p>
    <w:p w14:paraId="0D13573D" w14:textId="77777777" w:rsidR="004102FE" w:rsidRPr="00E17E73" w:rsidRDefault="004102FE">
      <w:pPr>
        <w:rPr>
          <w:rFonts w:ascii="Arial" w:hAnsi="Arial"/>
          <w:color w:val="FF0000"/>
          <w:lang w:val="en-US"/>
        </w:rPr>
      </w:pPr>
      <w:proofErr w:type="spellStart"/>
      <w:r w:rsidRPr="00E17E73">
        <w:rPr>
          <w:rFonts w:ascii="Arial" w:hAnsi="Arial"/>
          <w:color w:val="FF0000"/>
          <w:lang w:val="en-US"/>
        </w:rPr>
        <w:t>Datenquelle</w:t>
      </w:r>
      <w:proofErr w:type="spellEnd"/>
    </w:p>
    <w:p w14:paraId="3A0666DF" w14:textId="77777777" w:rsidR="004102FE" w:rsidRPr="00E024E2" w:rsidRDefault="004102FE">
      <w:pPr>
        <w:rPr>
          <w:rFonts w:ascii="Arial" w:hAnsi="Arial"/>
        </w:rPr>
      </w:pPr>
    </w:p>
    <w:p w14:paraId="55D8A32E" w14:textId="457C182A" w:rsidR="00A900F9" w:rsidRPr="00E024E2" w:rsidRDefault="004102FE">
      <w:pPr>
        <w:rPr>
          <w:rFonts w:ascii="Arial" w:hAnsi="Arial"/>
        </w:rPr>
      </w:pPr>
      <w:r w:rsidRPr="00E024E2">
        <w:rPr>
          <w:rFonts w:ascii="Arial" w:hAnsi="Arial"/>
        </w:rPr>
        <w:t xml:space="preserve">United Nations Conference on Trade and Development (UNCTAD): Review </w:t>
      </w:r>
      <w:proofErr w:type="spellStart"/>
      <w:r w:rsidRPr="00E024E2">
        <w:rPr>
          <w:rFonts w:ascii="Arial" w:hAnsi="Arial"/>
        </w:rPr>
        <w:t>of</w:t>
      </w:r>
      <w:proofErr w:type="spellEnd"/>
      <w:r w:rsidRPr="00E024E2">
        <w:rPr>
          <w:rFonts w:ascii="Arial" w:hAnsi="Arial"/>
        </w:rPr>
        <w:t xml:space="preserve"> Maritime Transport</w:t>
      </w:r>
      <w:r w:rsidR="00A900F9" w:rsidRPr="00E024E2">
        <w:rPr>
          <w:rFonts w:ascii="Arial" w:hAnsi="Arial"/>
        </w:rPr>
        <w:t>, verschiedene Jahrgänge</w:t>
      </w:r>
      <w:r w:rsidR="00E1606B" w:rsidRPr="00E024E2">
        <w:rPr>
          <w:rFonts w:ascii="Arial" w:hAnsi="Arial"/>
        </w:rPr>
        <w:t xml:space="preserve">; </w:t>
      </w:r>
      <w:proofErr w:type="spellStart"/>
      <w:r w:rsidR="00E1606B" w:rsidRPr="00E024E2">
        <w:rPr>
          <w:rFonts w:ascii="Arial" w:hAnsi="Arial"/>
        </w:rPr>
        <w:t>Clarksons</w:t>
      </w:r>
      <w:proofErr w:type="spellEnd"/>
      <w:r w:rsidR="00E1606B" w:rsidRPr="00E024E2">
        <w:rPr>
          <w:rFonts w:ascii="Arial" w:hAnsi="Arial"/>
        </w:rPr>
        <w:t xml:space="preserve"> Research: World </w:t>
      </w:r>
      <w:proofErr w:type="spellStart"/>
      <w:r w:rsidR="00E1606B" w:rsidRPr="00E024E2">
        <w:rPr>
          <w:rFonts w:ascii="Arial" w:hAnsi="Arial"/>
        </w:rPr>
        <w:t>Seaborne</w:t>
      </w:r>
      <w:proofErr w:type="spellEnd"/>
      <w:r w:rsidR="00E1606B" w:rsidRPr="00E024E2">
        <w:rPr>
          <w:rFonts w:ascii="Arial" w:hAnsi="Arial"/>
        </w:rPr>
        <w:t xml:space="preserve"> Trade</w:t>
      </w:r>
    </w:p>
    <w:p w14:paraId="44B7E317" w14:textId="77777777" w:rsidR="00E1606B" w:rsidRPr="00E024E2" w:rsidRDefault="00E1606B">
      <w:pPr>
        <w:rPr>
          <w:rFonts w:ascii="Arial" w:hAnsi="Arial"/>
        </w:rPr>
      </w:pPr>
    </w:p>
    <w:p w14:paraId="1C68A0F4" w14:textId="77777777" w:rsidR="004102FE" w:rsidRDefault="004102FE">
      <w:pPr>
        <w:rPr>
          <w:rFonts w:ascii="Arial" w:hAnsi="Arial"/>
          <w:color w:val="FF0000"/>
        </w:rPr>
      </w:pPr>
      <w:r>
        <w:rPr>
          <w:rFonts w:ascii="Arial" w:hAnsi="Arial"/>
          <w:color w:val="FF0000"/>
        </w:rPr>
        <w:t>Begriffe, methodische Anmerkungen oder Lesehilfen</w:t>
      </w:r>
    </w:p>
    <w:p w14:paraId="74F365D6" w14:textId="77777777" w:rsidR="004102FE" w:rsidRDefault="004102FE">
      <w:pPr>
        <w:rPr>
          <w:rFonts w:ascii="Arial" w:hAnsi="Arial"/>
        </w:rPr>
      </w:pPr>
    </w:p>
    <w:p w14:paraId="3896C199" w14:textId="77777777" w:rsidR="00F55E2F" w:rsidRDefault="00F55E2F" w:rsidP="00F55E2F">
      <w:pPr>
        <w:rPr>
          <w:rFonts w:ascii="Arial" w:hAnsi="Arial"/>
        </w:rPr>
      </w:pPr>
      <w:r w:rsidRPr="00F55E2F">
        <w:rPr>
          <w:rFonts w:ascii="Arial" w:hAnsi="Arial"/>
        </w:rPr>
        <w:t xml:space="preserve">Eine </w:t>
      </w:r>
      <w:r w:rsidRPr="002031DF">
        <w:rPr>
          <w:rFonts w:ascii="Arial" w:hAnsi="Arial"/>
          <w:b/>
        </w:rPr>
        <w:t>Tonnen-Meile</w:t>
      </w:r>
      <w:r w:rsidRPr="00F55E2F">
        <w:rPr>
          <w:rFonts w:ascii="Arial" w:hAnsi="Arial"/>
        </w:rPr>
        <w:t xml:space="preserve"> entspricht dem Transport von einer Tonne Ladung über eine Seemeile bzw. 1,852 km.</w:t>
      </w:r>
    </w:p>
    <w:p w14:paraId="0A8DD1FE" w14:textId="77777777" w:rsidR="001608F1" w:rsidRDefault="001608F1" w:rsidP="00F55E2F">
      <w:pPr>
        <w:rPr>
          <w:rFonts w:ascii="Arial" w:hAnsi="Arial"/>
        </w:rPr>
      </w:pPr>
    </w:p>
    <w:p w14:paraId="7DBDB4B8" w14:textId="77777777" w:rsidR="00AA1010" w:rsidRDefault="004102FE" w:rsidP="001608F1">
      <w:pPr>
        <w:rPr>
          <w:rFonts w:ascii="Arial" w:hAnsi="Arial"/>
        </w:rPr>
      </w:pPr>
      <w:r w:rsidRPr="002031DF">
        <w:rPr>
          <w:rFonts w:ascii="Arial" w:hAnsi="Arial"/>
          <w:b/>
        </w:rPr>
        <w:t>ISO-Container</w:t>
      </w:r>
      <w:r>
        <w:rPr>
          <w:rFonts w:ascii="Arial" w:hAnsi="Arial"/>
        </w:rPr>
        <w:t xml:space="preserve"> sind weltweit genormte Großraumbehälter, durch die das Verladen, Befördern, Lagern und Entladen von Gütern vereinfacht und beschleunigt wird. Die gängigen ISO-Container haben eine Breite von 8 Fuß (2,44 m) und sind entweder 20 Fuß (6,10 m) oder 40 Fuß (12,19 m) lang. Daraus ergeben sich auch die Abkürzungen </w:t>
      </w:r>
      <w:r w:rsidRPr="002031DF">
        <w:rPr>
          <w:rFonts w:ascii="Arial" w:hAnsi="Arial"/>
          <w:b/>
        </w:rPr>
        <w:t>TEU</w:t>
      </w:r>
      <w:r>
        <w:rPr>
          <w:rFonts w:ascii="Arial" w:hAnsi="Arial"/>
        </w:rPr>
        <w:t xml:space="preserve"> (</w:t>
      </w:r>
      <w:proofErr w:type="spellStart"/>
      <w:r>
        <w:rPr>
          <w:rFonts w:ascii="Arial" w:hAnsi="Arial"/>
        </w:rPr>
        <w:t>Twenty-foot</w:t>
      </w:r>
      <w:proofErr w:type="spellEnd"/>
      <w:r>
        <w:rPr>
          <w:rFonts w:ascii="Arial" w:hAnsi="Arial"/>
        </w:rPr>
        <w:t xml:space="preserve"> </w:t>
      </w:r>
      <w:proofErr w:type="spellStart"/>
      <w:r>
        <w:rPr>
          <w:rFonts w:ascii="Arial" w:hAnsi="Arial"/>
        </w:rPr>
        <w:t>Equivalent</w:t>
      </w:r>
      <w:proofErr w:type="spellEnd"/>
      <w:r>
        <w:rPr>
          <w:rFonts w:ascii="Arial" w:hAnsi="Arial"/>
        </w:rPr>
        <w:t xml:space="preserve"> Unit) und </w:t>
      </w:r>
      <w:r w:rsidRPr="002031DF">
        <w:rPr>
          <w:rFonts w:ascii="Arial" w:hAnsi="Arial"/>
          <w:b/>
        </w:rPr>
        <w:t>FEU</w:t>
      </w:r>
      <w:r>
        <w:rPr>
          <w:rFonts w:ascii="Arial" w:hAnsi="Arial"/>
        </w:rPr>
        <w:t xml:space="preserve"> (</w:t>
      </w:r>
      <w:proofErr w:type="spellStart"/>
      <w:r>
        <w:rPr>
          <w:rFonts w:ascii="Arial" w:hAnsi="Arial"/>
        </w:rPr>
        <w:t>Fourty-foot</w:t>
      </w:r>
      <w:proofErr w:type="spellEnd"/>
      <w:r>
        <w:rPr>
          <w:rFonts w:ascii="Arial" w:hAnsi="Arial"/>
        </w:rPr>
        <w:t xml:space="preserve"> </w:t>
      </w:r>
      <w:proofErr w:type="spellStart"/>
      <w:r>
        <w:rPr>
          <w:rFonts w:ascii="Arial" w:hAnsi="Arial"/>
        </w:rPr>
        <w:t>Equivalent</w:t>
      </w:r>
      <w:proofErr w:type="spellEnd"/>
      <w:r>
        <w:rPr>
          <w:rFonts w:ascii="Arial" w:hAnsi="Arial"/>
        </w:rPr>
        <w:t xml:space="preserve"> Unit). Als Maßeinheit für Ladefähigkeit und Umschlagsmengen hat sich TEU durchgesetzt. Es gibt jedoch auch im ISO-System eine Vielzahl von Sondermaßen.</w:t>
      </w:r>
    </w:p>
    <w:p w14:paraId="732CAA19" w14:textId="77777777" w:rsidR="00963DEA" w:rsidRDefault="00963DEA" w:rsidP="001608F1">
      <w:pPr>
        <w:rPr>
          <w:rFonts w:ascii="Arial" w:hAnsi="Arial"/>
        </w:rPr>
      </w:pPr>
    </w:p>
    <w:p w14:paraId="78CF8594" w14:textId="77777777" w:rsidR="00E1606B" w:rsidRDefault="00963DEA" w:rsidP="001608F1">
      <w:pPr>
        <w:rPr>
          <w:rFonts w:ascii="Arial" w:hAnsi="Arial"/>
        </w:rPr>
      </w:pPr>
      <w:r w:rsidRPr="00963DEA">
        <w:rPr>
          <w:rFonts w:ascii="Arial" w:hAnsi="Arial"/>
        </w:rPr>
        <w:t xml:space="preserve">Die dimensionslose </w:t>
      </w:r>
      <w:r w:rsidRPr="00A9067D">
        <w:rPr>
          <w:rFonts w:ascii="Arial" w:hAnsi="Arial"/>
          <w:b/>
        </w:rPr>
        <w:t>Bruttoraumzahl</w:t>
      </w:r>
      <w:r w:rsidR="00A9067D">
        <w:rPr>
          <w:rFonts w:ascii="Arial" w:hAnsi="Arial"/>
          <w:b/>
        </w:rPr>
        <w:t xml:space="preserve"> (</w:t>
      </w:r>
      <w:r w:rsidRPr="00963DEA">
        <w:rPr>
          <w:rFonts w:ascii="Arial" w:hAnsi="Arial"/>
          <w:b/>
          <w:bCs/>
        </w:rPr>
        <w:t>BRZ</w:t>
      </w:r>
      <w:r w:rsidR="00A9067D">
        <w:rPr>
          <w:rFonts w:ascii="Arial" w:hAnsi="Arial"/>
          <w:b/>
          <w:bCs/>
        </w:rPr>
        <w:t>)</w:t>
      </w:r>
      <w:r w:rsidRPr="00963DEA">
        <w:rPr>
          <w:rFonts w:ascii="Arial" w:hAnsi="Arial"/>
        </w:rPr>
        <w:t> </w:t>
      </w:r>
      <w:r>
        <w:rPr>
          <w:rFonts w:ascii="Arial" w:hAnsi="Arial"/>
        </w:rPr>
        <w:t xml:space="preserve">– </w:t>
      </w:r>
      <w:r w:rsidRPr="00963DEA">
        <w:rPr>
          <w:rFonts w:ascii="Arial" w:hAnsi="Arial"/>
        </w:rPr>
        <w:t>engl</w:t>
      </w:r>
      <w:r>
        <w:rPr>
          <w:rFonts w:ascii="Arial" w:hAnsi="Arial"/>
        </w:rPr>
        <w:t xml:space="preserve">isch: </w:t>
      </w:r>
      <w:proofErr w:type="spellStart"/>
      <w:r w:rsidRPr="00963DEA">
        <w:rPr>
          <w:rFonts w:ascii="Arial" w:hAnsi="Arial"/>
        </w:rPr>
        <w:t>Gross</w:t>
      </w:r>
      <w:proofErr w:type="spellEnd"/>
      <w:r w:rsidRPr="00963DEA">
        <w:rPr>
          <w:rFonts w:ascii="Arial" w:hAnsi="Arial"/>
        </w:rPr>
        <w:t xml:space="preserve"> Tonnage </w:t>
      </w:r>
      <w:r>
        <w:rPr>
          <w:rFonts w:ascii="Arial" w:hAnsi="Arial"/>
          <w:sz w:val="22"/>
        </w:rPr>
        <w:t>(</w:t>
      </w:r>
      <w:r w:rsidRPr="00963DEA">
        <w:rPr>
          <w:rFonts w:ascii="Arial" w:hAnsi="Arial"/>
        </w:rPr>
        <w:t xml:space="preserve">GT) </w:t>
      </w:r>
      <w:r>
        <w:rPr>
          <w:rFonts w:ascii="Arial" w:hAnsi="Arial"/>
        </w:rPr>
        <w:t xml:space="preserve">– </w:t>
      </w:r>
      <w:r w:rsidRPr="00963DEA">
        <w:rPr>
          <w:rFonts w:ascii="Arial" w:hAnsi="Arial"/>
        </w:rPr>
        <w:t>ergibt sich aus dem Gesamtvolumen V (in m³) multipliziert mit dem Faktor K1 (K1 liegt zwischen 0,22 und 0,32) nach der Formel BRZ = K1 * V. Die BRZ bezeichnet das Maß für die ermittelte Gesamtgröße eines Schiffes. Es handelt sich dabei nicht, wie oft irrtümlich angenommen, um eine Gewichtsangabe. Es gibt auch keine direkte Beziehung zur Tragfähigkeit des Schiffes.</w:t>
      </w:r>
    </w:p>
    <w:p w14:paraId="7A66063C" w14:textId="77777777" w:rsidR="00E1606B" w:rsidRDefault="00E1606B" w:rsidP="001608F1">
      <w:pPr>
        <w:rPr>
          <w:rFonts w:ascii="Arial" w:hAnsi="Arial"/>
        </w:rPr>
      </w:pPr>
    </w:p>
    <w:p w14:paraId="51F00907" w14:textId="4C447C6C" w:rsidR="00AE4D16" w:rsidRPr="00AE4D16" w:rsidRDefault="00AE4D16" w:rsidP="001608F1">
      <w:pPr>
        <w:rPr>
          <w:rFonts w:ascii="Arial" w:hAnsi="Arial"/>
        </w:rPr>
      </w:pPr>
      <w:r w:rsidRPr="00AE4D16">
        <w:rPr>
          <w:rFonts w:ascii="Arial" w:hAnsi="Arial"/>
        </w:rPr>
        <w:t xml:space="preserve">UNCTAD </w:t>
      </w:r>
      <w:r>
        <w:rPr>
          <w:rFonts w:ascii="Arial" w:hAnsi="Arial"/>
        </w:rPr>
        <w:t xml:space="preserve">– </w:t>
      </w:r>
      <w:r w:rsidRPr="00AE4D16">
        <w:rPr>
          <w:rFonts w:ascii="Arial" w:hAnsi="Arial"/>
        </w:rPr>
        <w:t xml:space="preserve">United </w:t>
      </w:r>
      <w:proofErr w:type="spellStart"/>
      <w:r w:rsidRPr="00AE4D16">
        <w:rPr>
          <w:rFonts w:ascii="Arial" w:hAnsi="Arial"/>
        </w:rPr>
        <w:t>Nations</w:t>
      </w:r>
      <w:proofErr w:type="spellEnd"/>
      <w:r w:rsidRPr="00AE4D16">
        <w:rPr>
          <w:rFonts w:ascii="Arial" w:hAnsi="Arial"/>
        </w:rPr>
        <w:t xml:space="preserve"> Conference on Trade </w:t>
      </w:r>
      <w:proofErr w:type="spellStart"/>
      <w:r w:rsidRPr="00AE4D16">
        <w:rPr>
          <w:rFonts w:ascii="Arial" w:hAnsi="Arial"/>
        </w:rPr>
        <w:t>and</w:t>
      </w:r>
      <w:proofErr w:type="spellEnd"/>
      <w:r w:rsidRPr="00AE4D16">
        <w:rPr>
          <w:rFonts w:ascii="Arial" w:hAnsi="Arial"/>
        </w:rPr>
        <w:t xml:space="preserve"> Development</w:t>
      </w:r>
    </w:p>
    <w:p w14:paraId="1B48C666" w14:textId="77777777" w:rsidR="00AE4D16" w:rsidRDefault="00AE4D16" w:rsidP="001608F1">
      <w:pPr>
        <w:rPr>
          <w:rFonts w:ascii="Arial" w:hAnsi="Arial"/>
        </w:rPr>
      </w:pPr>
    </w:p>
    <w:p w14:paraId="28B71E35" w14:textId="77777777" w:rsidR="00B31B99" w:rsidRPr="00D83506" w:rsidRDefault="00B31B99" w:rsidP="00B31B99">
      <w:pPr>
        <w:rPr>
          <w:rFonts w:ascii="Arial" w:hAnsi="Arial"/>
          <w:sz w:val="20"/>
          <w:szCs w:val="20"/>
        </w:rPr>
      </w:pPr>
      <w:r>
        <w:rPr>
          <w:rFonts w:ascii="Arial" w:hAnsi="Arial"/>
          <w:sz w:val="20"/>
          <w:szCs w:val="20"/>
        </w:rPr>
        <w:t>D</w:t>
      </w:r>
      <w:r w:rsidRPr="00D83506">
        <w:rPr>
          <w:rFonts w:ascii="Arial" w:hAnsi="Arial"/>
          <w:sz w:val="20"/>
          <w:szCs w:val="20"/>
        </w:rPr>
        <w:t xml:space="preserve">ieser Text ist unter der Creative </w:t>
      </w:r>
      <w:proofErr w:type="spellStart"/>
      <w:r w:rsidRPr="00D83506">
        <w:rPr>
          <w:rFonts w:ascii="Arial" w:hAnsi="Arial"/>
          <w:sz w:val="20"/>
          <w:szCs w:val="20"/>
        </w:rPr>
        <w:t>Commons</w:t>
      </w:r>
      <w:proofErr w:type="spellEnd"/>
      <w:r w:rsidRPr="00D83506">
        <w:rPr>
          <w:rFonts w:ascii="Arial" w:hAnsi="Arial"/>
          <w:sz w:val="20"/>
          <w:szCs w:val="20"/>
        </w:rPr>
        <w:t xml:space="preserve"> Lizenz CC BY-NC-ND 4.0 veröffentlicht. </w:t>
      </w:r>
    </w:p>
    <w:p w14:paraId="5A072A0B" w14:textId="0EECA297" w:rsidR="005F4381" w:rsidRPr="00B31B99" w:rsidRDefault="00B31B99" w:rsidP="00B31B99">
      <w:pPr>
        <w:rPr>
          <w:rFonts w:ascii="Arial" w:hAnsi="Arial"/>
          <w:sz w:val="20"/>
          <w:szCs w:val="20"/>
        </w:rPr>
      </w:pPr>
      <w:r w:rsidRPr="00D83506">
        <w:rPr>
          <w:rFonts w:ascii="Arial" w:hAnsi="Arial"/>
          <w:sz w:val="20"/>
          <w:szCs w:val="20"/>
        </w:rPr>
        <w:t>Bundeszentrale für politische Bildung 202</w:t>
      </w:r>
      <w:r>
        <w:rPr>
          <w:rFonts w:ascii="Arial" w:hAnsi="Arial"/>
          <w:sz w:val="20"/>
          <w:szCs w:val="20"/>
        </w:rPr>
        <w:t>4</w:t>
      </w:r>
      <w:r w:rsidRPr="00D83506">
        <w:rPr>
          <w:rFonts w:ascii="Arial" w:hAnsi="Arial"/>
          <w:sz w:val="20"/>
          <w:szCs w:val="20"/>
        </w:rPr>
        <w:t xml:space="preserve"> | </w:t>
      </w:r>
      <w:hyperlink r:id="rId8" w:history="1">
        <w:r w:rsidRPr="00D83506">
          <w:rPr>
            <w:rFonts w:ascii="Arial" w:hAnsi="Arial"/>
            <w:sz w:val="20"/>
            <w:szCs w:val="20"/>
          </w:rPr>
          <w:t>www.bpb.de</w:t>
        </w:r>
      </w:hyperlink>
    </w:p>
    <w:sectPr w:rsidR="005F4381" w:rsidRPr="00B31B9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42AE3" w15:done="0"/>
  <w15:commentEx w15:paraId="39BC52DC" w15:paraIdParent="65042AE3" w15:done="0"/>
  <w15:commentEx w15:paraId="522F72AD" w15:paraIdParent="65042AE3" w15:done="0"/>
  <w15:commentEx w15:paraId="75C8F61F" w15:done="0"/>
  <w15:commentEx w15:paraId="73801941" w15:paraIdParent="75C8F6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69612" w14:textId="77777777" w:rsidR="00BB1359" w:rsidRDefault="00BB1359" w:rsidP="00FB767D">
      <w:r>
        <w:separator/>
      </w:r>
    </w:p>
  </w:endnote>
  <w:endnote w:type="continuationSeparator" w:id="0">
    <w:p w14:paraId="6E020867" w14:textId="77777777" w:rsidR="00BB1359" w:rsidRDefault="00BB1359" w:rsidP="00FB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0F78B" w14:textId="77777777" w:rsidR="00FB767D" w:rsidRDefault="00FB76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7A2E9" w14:textId="77777777" w:rsidR="00FB767D" w:rsidRDefault="00FB767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FA827" w14:textId="77777777" w:rsidR="00FB767D" w:rsidRDefault="00FB76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8A8E0" w14:textId="77777777" w:rsidR="00BB1359" w:rsidRDefault="00BB1359" w:rsidP="00FB767D">
      <w:r>
        <w:separator/>
      </w:r>
    </w:p>
  </w:footnote>
  <w:footnote w:type="continuationSeparator" w:id="0">
    <w:p w14:paraId="67F9E346" w14:textId="77777777" w:rsidR="00BB1359" w:rsidRDefault="00BB1359" w:rsidP="00FB7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DCE69" w14:textId="77777777" w:rsidR="00FB767D" w:rsidRDefault="00FB76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8A00" w14:textId="77777777" w:rsidR="00FB767D" w:rsidRDefault="00FB767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62A00" w14:textId="77777777" w:rsidR="00FB767D" w:rsidRDefault="00FB767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223"/>
    <w:multiLevelType w:val="hybridMultilevel"/>
    <w:tmpl w:val="DCA68EB8"/>
    <w:lvl w:ilvl="0" w:tplc="0407000B">
      <w:start w:val="20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23A5E73"/>
    <w:multiLevelType w:val="hybridMultilevel"/>
    <w:tmpl w:val="61C67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rson w15:author="Tilk, Merle Kristin">
    <w15:presenceInfo w15:providerId="None" w15:userId="Tilk, Merle Kri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6C"/>
    <w:rsid w:val="0000247C"/>
    <w:rsid w:val="000074CC"/>
    <w:rsid w:val="0002056D"/>
    <w:rsid w:val="00021542"/>
    <w:rsid w:val="00041B0B"/>
    <w:rsid w:val="00081AFB"/>
    <w:rsid w:val="000830D1"/>
    <w:rsid w:val="00091B35"/>
    <w:rsid w:val="000A0196"/>
    <w:rsid w:val="000B3DAF"/>
    <w:rsid w:val="000E36B9"/>
    <w:rsid w:val="001608F1"/>
    <w:rsid w:val="00161E74"/>
    <w:rsid w:val="001913FF"/>
    <w:rsid w:val="001A4C44"/>
    <w:rsid w:val="001D07F1"/>
    <w:rsid w:val="001E2B61"/>
    <w:rsid w:val="001E7849"/>
    <w:rsid w:val="002031DF"/>
    <w:rsid w:val="00211962"/>
    <w:rsid w:val="002140E1"/>
    <w:rsid w:val="002201FA"/>
    <w:rsid w:val="00237E15"/>
    <w:rsid w:val="00237F02"/>
    <w:rsid w:val="00253013"/>
    <w:rsid w:val="0026187D"/>
    <w:rsid w:val="00263C75"/>
    <w:rsid w:val="00273C7C"/>
    <w:rsid w:val="0028456A"/>
    <w:rsid w:val="00294751"/>
    <w:rsid w:val="0029482F"/>
    <w:rsid w:val="002C580C"/>
    <w:rsid w:val="002D2FCE"/>
    <w:rsid w:val="002F09D4"/>
    <w:rsid w:val="00344A2F"/>
    <w:rsid w:val="00351002"/>
    <w:rsid w:val="003611B9"/>
    <w:rsid w:val="0037732F"/>
    <w:rsid w:val="003B3CEF"/>
    <w:rsid w:val="003E414F"/>
    <w:rsid w:val="003F261A"/>
    <w:rsid w:val="004102FE"/>
    <w:rsid w:val="00461466"/>
    <w:rsid w:val="00474893"/>
    <w:rsid w:val="00495D6B"/>
    <w:rsid w:val="00515FE4"/>
    <w:rsid w:val="00526E49"/>
    <w:rsid w:val="00530C92"/>
    <w:rsid w:val="00567AD6"/>
    <w:rsid w:val="00576248"/>
    <w:rsid w:val="00592492"/>
    <w:rsid w:val="005C4677"/>
    <w:rsid w:val="005E4A0C"/>
    <w:rsid w:val="005F4381"/>
    <w:rsid w:val="00615326"/>
    <w:rsid w:val="00623F60"/>
    <w:rsid w:val="00626C74"/>
    <w:rsid w:val="006333D2"/>
    <w:rsid w:val="006438FA"/>
    <w:rsid w:val="00664EA9"/>
    <w:rsid w:val="006654E2"/>
    <w:rsid w:val="00674CCF"/>
    <w:rsid w:val="00692B2D"/>
    <w:rsid w:val="006A3245"/>
    <w:rsid w:val="006B1FE1"/>
    <w:rsid w:val="006B3915"/>
    <w:rsid w:val="00733FF9"/>
    <w:rsid w:val="00743A9C"/>
    <w:rsid w:val="00747DD0"/>
    <w:rsid w:val="00797B8A"/>
    <w:rsid w:val="00797F6F"/>
    <w:rsid w:val="007B0AED"/>
    <w:rsid w:val="007B38EE"/>
    <w:rsid w:val="007C6DF2"/>
    <w:rsid w:val="007D14A2"/>
    <w:rsid w:val="007D65F9"/>
    <w:rsid w:val="00806DB5"/>
    <w:rsid w:val="008112A5"/>
    <w:rsid w:val="00874A3A"/>
    <w:rsid w:val="0089656D"/>
    <w:rsid w:val="00896F83"/>
    <w:rsid w:val="008A1F6C"/>
    <w:rsid w:val="008C2F6D"/>
    <w:rsid w:val="008C70E0"/>
    <w:rsid w:val="008D464D"/>
    <w:rsid w:val="008E3BDE"/>
    <w:rsid w:val="008E6CA4"/>
    <w:rsid w:val="00915949"/>
    <w:rsid w:val="00935B97"/>
    <w:rsid w:val="00946B1F"/>
    <w:rsid w:val="00950C7C"/>
    <w:rsid w:val="00962068"/>
    <w:rsid w:val="00963DEA"/>
    <w:rsid w:val="00987832"/>
    <w:rsid w:val="00993915"/>
    <w:rsid w:val="009B4C95"/>
    <w:rsid w:val="009E7857"/>
    <w:rsid w:val="00A01239"/>
    <w:rsid w:val="00A03126"/>
    <w:rsid w:val="00A1062E"/>
    <w:rsid w:val="00A21F4D"/>
    <w:rsid w:val="00A32FA0"/>
    <w:rsid w:val="00A4124A"/>
    <w:rsid w:val="00A452A2"/>
    <w:rsid w:val="00A51C5E"/>
    <w:rsid w:val="00A900F9"/>
    <w:rsid w:val="00A9067D"/>
    <w:rsid w:val="00A915F6"/>
    <w:rsid w:val="00AA1010"/>
    <w:rsid w:val="00AA2147"/>
    <w:rsid w:val="00AA525D"/>
    <w:rsid w:val="00AE4D16"/>
    <w:rsid w:val="00AF2DBE"/>
    <w:rsid w:val="00AF4C8B"/>
    <w:rsid w:val="00B00F34"/>
    <w:rsid w:val="00B24861"/>
    <w:rsid w:val="00B24F6B"/>
    <w:rsid w:val="00B31B99"/>
    <w:rsid w:val="00B377F1"/>
    <w:rsid w:val="00B46F5C"/>
    <w:rsid w:val="00B544E6"/>
    <w:rsid w:val="00B5745B"/>
    <w:rsid w:val="00B65C99"/>
    <w:rsid w:val="00B66A85"/>
    <w:rsid w:val="00B675C6"/>
    <w:rsid w:val="00BB1359"/>
    <w:rsid w:val="00BB23E9"/>
    <w:rsid w:val="00BF1373"/>
    <w:rsid w:val="00BF207C"/>
    <w:rsid w:val="00BF3ABD"/>
    <w:rsid w:val="00C269C0"/>
    <w:rsid w:val="00C42990"/>
    <w:rsid w:val="00C43DC6"/>
    <w:rsid w:val="00C4479F"/>
    <w:rsid w:val="00C46A38"/>
    <w:rsid w:val="00C5051E"/>
    <w:rsid w:val="00C52295"/>
    <w:rsid w:val="00C65FF0"/>
    <w:rsid w:val="00C77BB6"/>
    <w:rsid w:val="00CA4B45"/>
    <w:rsid w:val="00CB1429"/>
    <w:rsid w:val="00CC40E3"/>
    <w:rsid w:val="00CC55EC"/>
    <w:rsid w:val="00CC6B94"/>
    <w:rsid w:val="00D3264F"/>
    <w:rsid w:val="00D5020D"/>
    <w:rsid w:val="00D57E83"/>
    <w:rsid w:val="00D6606F"/>
    <w:rsid w:val="00D90DEF"/>
    <w:rsid w:val="00DC7ACA"/>
    <w:rsid w:val="00DE2398"/>
    <w:rsid w:val="00E024E2"/>
    <w:rsid w:val="00E13596"/>
    <w:rsid w:val="00E1606B"/>
    <w:rsid w:val="00E17E73"/>
    <w:rsid w:val="00E334D9"/>
    <w:rsid w:val="00E46E20"/>
    <w:rsid w:val="00E67736"/>
    <w:rsid w:val="00E829CA"/>
    <w:rsid w:val="00E9146F"/>
    <w:rsid w:val="00E92F76"/>
    <w:rsid w:val="00EA18B4"/>
    <w:rsid w:val="00EF4C38"/>
    <w:rsid w:val="00F01BB9"/>
    <w:rsid w:val="00F07D7E"/>
    <w:rsid w:val="00F1552A"/>
    <w:rsid w:val="00F17A61"/>
    <w:rsid w:val="00F311A8"/>
    <w:rsid w:val="00F335B1"/>
    <w:rsid w:val="00F55566"/>
    <w:rsid w:val="00F55E2F"/>
    <w:rsid w:val="00F5618F"/>
    <w:rsid w:val="00F7439B"/>
    <w:rsid w:val="00F82C34"/>
    <w:rsid w:val="00F86CA4"/>
    <w:rsid w:val="00FB422B"/>
    <w:rsid w:val="00FB767D"/>
    <w:rsid w:val="00FC382E"/>
    <w:rsid w:val="00FC4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F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4A3A"/>
    <w:rPr>
      <w:sz w:val="24"/>
      <w:szCs w:val="24"/>
    </w:rPr>
  </w:style>
  <w:style w:type="paragraph" w:styleId="berschrift2">
    <w:name w:val="heading 2"/>
    <w:basedOn w:val="Standard"/>
    <w:next w:val="Standard"/>
    <w:link w:val="berschrift2Zchn"/>
    <w:uiPriority w:val="9"/>
    <w:semiHidden/>
    <w:unhideWhenUsed/>
    <w:qFormat/>
    <w:rsid w:val="00E17E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8A1F6C"/>
    <w:rPr>
      <w:rFonts w:ascii="Tahoma" w:hAnsi="Tahoma" w:cs="Tahoma"/>
      <w:sz w:val="16"/>
      <w:szCs w:val="16"/>
    </w:rPr>
  </w:style>
  <w:style w:type="character" w:customStyle="1" w:styleId="berschrift2Zchn">
    <w:name w:val="Überschrift 2 Zchn"/>
    <w:basedOn w:val="Absatz-Standardschriftart"/>
    <w:link w:val="berschrift2"/>
    <w:uiPriority w:val="9"/>
    <w:semiHidden/>
    <w:rsid w:val="00E17E73"/>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F7439B"/>
  </w:style>
  <w:style w:type="paragraph" w:styleId="Kommentarthema">
    <w:name w:val="annotation subject"/>
    <w:basedOn w:val="Kommentartext"/>
    <w:next w:val="Kommentartext"/>
    <w:link w:val="KommentarthemaZchn"/>
    <w:uiPriority w:val="99"/>
    <w:semiHidden/>
    <w:unhideWhenUsed/>
    <w:rsid w:val="00D5020D"/>
    <w:rPr>
      <w:b/>
      <w:bCs/>
      <w:szCs w:val="20"/>
    </w:rPr>
  </w:style>
  <w:style w:type="character" w:customStyle="1" w:styleId="KommentartextZchn">
    <w:name w:val="Kommentartext Zchn"/>
    <w:basedOn w:val="Absatz-Standardschriftart"/>
    <w:link w:val="Kommentartext"/>
    <w:semiHidden/>
    <w:rsid w:val="00D5020D"/>
    <w:rPr>
      <w:szCs w:val="24"/>
    </w:rPr>
  </w:style>
  <w:style w:type="character" w:customStyle="1" w:styleId="KommentarthemaZchn">
    <w:name w:val="Kommentarthema Zchn"/>
    <w:basedOn w:val="KommentartextZchn"/>
    <w:link w:val="Kommentarthema"/>
    <w:uiPriority w:val="99"/>
    <w:semiHidden/>
    <w:rsid w:val="00D5020D"/>
    <w:rPr>
      <w:b/>
      <w:bCs/>
      <w:szCs w:val="24"/>
    </w:rPr>
  </w:style>
  <w:style w:type="paragraph" w:styleId="Kopfzeile">
    <w:name w:val="header"/>
    <w:basedOn w:val="Standard"/>
    <w:link w:val="KopfzeileZchn"/>
    <w:uiPriority w:val="99"/>
    <w:unhideWhenUsed/>
    <w:rsid w:val="00FB767D"/>
    <w:pPr>
      <w:tabs>
        <w:tab w:val="center" w:pos="4536"/>
        <w:tab w:val="right" w:pos="9072"/>
      </w:tabs>
    </w:pPr>
  </w:style>
  <w:style w:type="character" w:customStyle="1" w:styleId="KopfzeileZchn">
    <w:name w:val="Kopfzeile Zchn"/>
    <w:basedOn w:val="Absatz-Standardschriftart"/>
    <w:link w:val="Kopfzeile"/>
    <w:uiPriority w:val="99"/>
    <w:rsid w:val="00FB767D"/>
    <w:rPr>
      <w:sz w:val="24"/>
      <w:szCs w:val="24"/>
    </w:rPr>
  </w:style>
  <w:style w:type="character" w:styleId="Fett">
    <w:name w:val="Strong"/>
    <w:basedOn w:val="Absatz-Standardschriftart"/>
    <w:uiPriority w:val="22"/>
    <w:qFormat/>
    <w:rsid w:val="00461466"/>
    <w:rPr>
      <w:b/>
      <w:bCs/>
    </w:rPr>
  </w:style>
  <w:style w:type="paragraph" w:styleId="Listenabsatz">
    <w:name w:val="List Paragraph"/>
    <w:basedOn w:val="Standard"/>
    <w:uiPriority w:val="34"/>
    <w:qFormat/>
    <w:rsid w:val="008C70E0"/>
    <w:pPr>
      <w:ind w:left="720"/>
      <w:contextualSpacing/>
    </w:pPr>
  </w:style>
  <w:style w:type="character" w:customStyle="1" w:styleId="block-inner">
    <w:name w:val="block-inner"/>
    <w:basedOn w:val="Absatz-Standardschriftart"/>
    <w:rsid w:val="00643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4A3A"/>
    <w:rPr>
      <w:sz w:val="24"/>
      <w:szCs w:val="24"/>
    </w:rPr>
  </w:style>
  <w:style w:type="paragraph" w:styleId="berschrift2">
    <w:name w:val="heading 2"/>
    <w:basedOn w:val="Standard"/>
    <w:next w:val="Standard"/>
    <w:link w:val="berschrift2Zchn"/>
    <w:uiPriority w:val="9"/>
    <w:semiHidden/>
    <w:unhideWhenUsed/>
    <w:qFormat/>
    <w:rsid w:val="00E17E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8A1F6C"/>
    <w:rPr>
      <w:rFonts w:ascii="Tahoma" w:hAnsi="Tahoma" w:cs="Tahoma"/>
      <w:sz w:val="16"/>
      <w:szCs w:val="16"/>
    </w:rPr>
  </w:style>
  <w:style w:type="character" w:customStyle="1" w:styleId="berschrift2Zchn">
    <w:name w:val="Überschrift 2 Zchn"/>
    <w:basedOn w:val="Absatz-Standardschriftart"/>
    <w:link w:val="berschrift2"/>
    <w:uiPriority w:val="9"/>
    <w:semiHidden/>
    <w:rsid w:val="00E17E73"/>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F7439B"/>
  </w:style>
  <w:style w:type="paragraph" w:styleId="Kommentarthema">
    <w:name w:val="annotation subject"/>
    <w:basedOn w:val="Kommentartext"/>
    <w:next w:val="Kommentartext"/>
    <w:link w:val="KommentarthemaZchn"/>
    <w:uiPriority w:val="99"/>
    <w:semiHidden/>
    <w:unhideWhenUsed/>
    <w:rsid w:val="00D5020D"/>
    <w:rPr>
      <w:b/>
      <w:bCs/>
      <w:szCs w:val="20"/>
    </w:rPr>
  </w:style>
  <w:style w:type="character" w:customStyle="1" w:styleId="KommentartextZchn">
    <w:name w:val="Kommentartext Zchn"/>
    <w:basedOn w:val="Absatz-Standardschriftart"/>
    <w:link w:val="Kommentartext"/>
    <w:semiHidden/>
    <w:rsid w:val="00D5020D"/>
    <w:rPr>
      <w:szCs w:val="24"/>
    </w:rPr>
  </w:style>
  <w:style w:type="character" w:customStyle="1" w:styleId="KommentarthemaZchn">
    <w:name w:val="Kommentarthema Zchn"/>
    <w:basedOn w:val="KommentartextZchn"/>
    <w:link w:val="Kommentarthema"/>
    <w:uiPriority w:val="99"/>
    <w:semiHidden/>
    <w:rsid w:val="00D5020D"/>
    <w:rPr>
      <w:b/>
      <w:bCs/>
      <w:szCs w:val="24"/>
    </w:rPr>
  </w:style>
  <w:style w:type="paragraph" w:styleId="Kopfzeile">
    <w:name w:val="header"/>
    <w:basedOn w:val="Standard"/>
    <w:link w:val="KopfzeileZchn"/>
    <w:uiPriority w:val="99"/>
    <w:unhideWhenUsed/>
    <w:rsid w:val="00FB767D"/>
    <w:pPr>
      <w:tabs>
        <w:tab w:val="center" w:pos="4536"/>
        <w:tab w:val="right" w:pos="9072"/>
      </w:tabs>
    </w:pPr>
  </w:style>
  <w:style w:type="character" w:customStyle="1" w:styleId="KopfzeileZchn">
    <w:name w:val="Kopfzeile Zchn"/>
    <w:basedOn w:val="Absatz-Standardschriftart"/>
    <w:link w:val="Kopfzeile"/>
    <w:uiPriority w:val="99"/>
    <w:rsid w:val="00FB767D"/>
    <w:rPr>
      <w:sz w:val="24"/>
      <w:szCs w:val="24"/>
    </w:rPr>
  </w:style>
  <w:style w:type="character" w:styleId="Fett">
    <w:name w:val="Strong"/>
    <w:basedOn w:val="Absatz-Standardschriftart"/>
    <w:uiPriority w:val="22"/>
    <w:qFormat/>
    <w:rsid w:val="00461466"/>
    <w:rPr>
      <w:b/>
      <w:bCs/>
    </w:rPr>
  </w:style>
  <w:style w:type="paragraph" w:styleId="Listenabsatz">
    <w:name w:val="List Paragraph"/>
    <w:basedOn w:val="Standard"/>
    <w:uiPriority w:val="34"/>
    <w:qFormat/>
    <w:rsid w:val="008C70E0"/>
    <w:pPr>
      <w:ind w:left="720"/>
      <w:contextualSpacing/>
    </w:pPr>
  </w:style>
  <w:style w:type="character" w:customStyle="1" w:styleId="block-inner">
    <w:name w:val="block-inner"/>
    <w:basedOn w:val="Absatz-Standardschriftart"/>
    <w:rsid w:val="0064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1704">
      <w:bodyDiv w:val="1"/>
      <w:marLeft w:val="0"/>
      <w:marRight w:val="0"/>
      <w:marTop w:val="0"/>
      <w:marBottom w:val="0"/>
      <w:divBdr>
        <w:top w:val="none" w:sz="0" w:space="0" w:color="auto"/>
        <w:left w:val="none" w:sz="0" w:space="0" w:color="auto"/>
        <w:bottom w:val="none" w:sz="0" w:space="0" w:color="auto"/>
        <w:right w:val="none" w:sz="0" w:space="0" w:color="auto"/>
      </w:divBdr>
    </w:div>
    <w:div w:id="522131325">
      <w:bodyDiv w:val="1"/>
      <w:marLeft w:val="0"/>
      <w:marRight w:val="0"/>
      <w:marTop w:val="0"/>
      <w:marBottom w:val="0"/>
      <w:divBdr>
        <w:top w:val="none" w:sz="0" w:space="0" w:color="auto"/>
        <w:left w:val="none" w:sz="0" w:space="0" w:color="auto"/>
        <w:bottom w:val="none" w:sz="0" w:space="0" w:color="auto"/>
        <w:right w:val="none" w:sz="0" w:space="0" w:color="auto"/>
      </w:divBdr>
      <w:divsChild>
        <w:div w:id="487136082">
          <w:marLeft w:val="0"/>
          <w:marRight w:val="0"/>
          <w:marTop w:val="0"/>
          <w:marBottom w:val="0"/>
          <w:divBdr>
            <w:top w:val="none" w:sz="0" w:space="0" w:color="auto"/>
            <w:left w:val="none" w:sz="0" w:space="0" w:color="auto"/>
            <w:bottom w:val="none" w:sz="0" w:space="0" w:color="auto"/>
            <w:right w:val="none" w:sz="0" w:space="0" w:color="auto"/>
          </w:divBdr>
        </w:div>
      </w:divsChild>
    </w:div>
    <w:div w:id="653071304">
      <w:bodyDiv w:val="1"/>
      <w:marLeft w:val="0"/>
      <w:marRight w:val="0"/>
      <w:marTop w:val="0"/>
      <w:marBottom w:val="0"/>
      <w:divBdr>
        <w:top w:val="none" w:sz="0" w:space="0" w:color="auto"/>
        <w:left w:val="none" w:sz="0" w:space="0" w:color="auto"/>
        <w:bottom w:val="none" w:sz="0" w:space="0" w:color="auto"/>
        <w:right w:val="none" w:sz="0" w:space="0" w:color="auto"/>
      </w:divBdr>
    </w:div>
    <w:div w:id="974141552">
      <w:bodyDiv w:val="1"/>
      <w:marLeft w:val="0"/>
      <w:marRight w:val="0"/>
      <w:marTop w:val="0"/>
      <w:marBottom w:val="0"/>
      <w:divBdr>
        <w:top w:val="none" w:sz="0" w:space="0" w:color="auto"/>
        <w:left w:val="none" w:sz="0" w:space="0" w:color="auto"/>
        <w:bottom w:val="none" w:sz="0" w:space="0" w:color="auto"/>
        <w:right w:val="none" w:sz="0" w:space="0" w:color="auto"/>
      </w:divBdr>
    </w:div>
    <w:div w:id="1254898570">
      <w:bodyDiv w:val="1"/>
      <w:marLeft w:val="0"/>
      <w:marRight w:val="0"/>
      <w:marTop w:val="0"/>
      <w:marBottom w:val="0"/>
      <w:divBdr>
        <w:top w:val="none" w:sz="0" w:space="0" w:color="auto"/>
        <w:left w:val="none" w:sz="0" w:space="0" w:color="auto"/>
        <w:bottom w:val="none" w:sz="0" w:space="0" w:color="auto"/>
        <w:right w:val="none" w:sz="0" w:space="0" w:color="auto"/>
      </w:divBdr>
    </w:div>
    <w:div w:id="13706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eader" Target="header3.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2024-01-26T14:54:00Z</dcterms:created>
  <dcterms:modified xsi:type="dcterms:W3CDTF">2024-09-24T17:55:00Z</dcterms:modified>
</cp:coreProperties>
</file>